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10" w:rsidRPr="00AA347F" w:rsidRDefault="00EA0B10" w:rsidP="00AA347F">
      <w:pPr>
        <w:jc w:val="center"/>
        <w:rPr>
          <w:b/>
          <w:sz w:val="28"/>
        </w:rPr>
      </w:pPr>
      <w:r w:rsidRPr="00AA347F">
        <w:rPr>
          <w:b/>
          <w:sz w:val="28"/>
        </w:rPr>
        <w:t xml:space="preserve">MEMORIA EXPLICATIVA DE LAS CAUSAS QUE MOTIVAN EL EXPEDIENTE REGULACION TEMPORAL </w:t>
      </w:r>
      <w:r>
        <w:rPr>
          <w:b/>
          <w:sz w:val="28"/>
        </w:rPr>
        <w:t xml:space="preserve">DE </w:t>
      </w:r>
      <w:r w:rsidRPr="00AA347F">
        <w:rPr>
          <w:b/>
          <w:sz w:val="28"/>
        </w:rPr>
        <w:t>EMPLEO</w:t>
      </w:r>
      <w:r>
        <w:rPr>
          <w:b/>
          <w:sz w:val="28"/>
        </w:rPr>
        <w:t xml:space="preserve"> POR FUERZA MAYOR</w:t>
      </w:r>
    </w:p>
    <w:p w:rsidR="00EA0B10" w:rsidRDefault="00EA0B10" w:rsidP="00B3377E">
      <w:pPr>
        <w:jc w:val="both"/>
      </w:pPr>
    </w:p>
    <w:p w:rsidR="00EA0B10" w:rsidRPr="00AA347F" w:rsidRDefault="00EA0B10" w:rsidP="00B3377E">
      <w:pPr>
        <w:jc w:val="both"/>
        <w:rPr>
          <w:b/>
        </w:rPr>
      </w:pPr>
      <w:r w:rsidRPr="00AA347F">
        <w:rPr>
          <w:b/>
        </w:rPr>
        <w:t>I.- PRESENTACION DE LA EMPRESA</w:t>
      </w:r>
    </w:p>
    <w:p w:rsidR="00EA0B10" w:rsidRDefault="00EA0B10" w:rsidP="00B3377E">
      <w:pPr>
        <w:jc w:val="both"/>
      </w:pPr>
      <w:r w:rsidRPr="00DF756C">
        <w:t xml:space="preserve">La entidad </w:t>
      </w:r>
      <w:r>
        <w:t xml:space="preserve">                                          </w:t>
      </w:r>
      <w:r w:rsidRPr="00DF756C">
        <w:t xml:space="preserve">. con CIF: </w:t>
      </w:r>
      <w:r>
        <w:t xml:space="preserve">                       </w:t>
      </w:r>
      <w:r w:rsidRPr="00DF756C">
        <w:t xml:space="preserve"> y domicilio</w:t>
      </w:r>
      <w:r>
        <w:t xml:space="preserve">:                                         </w:t>
      </w:r>
      <w:r w:rsidRPr="00DF756C">
        <w:t xml:space="preserve">. C.P: </w:t>
      </w:r>
      <w:r>
        <w:t xml:space="preserve">      </w:t>
      </w:r>
      <w:r w:rsidRPr="00DF756C">
        <w:t xml:space="preserve">, </w:t>
      </w:r>
      <w:r>
        <w:t xml:space="preserve">provincia de                                         </w:t>
      </w:r>
      <w:r w:rsidRPr="00DF756C">
        <w:t>, representado por D</w:t>
      </w:r>
      <w:r>
        <w:t>º/ª                                       con</w:t>
      </w:r>
      <w:r w:rsidRPr="00DF756C">
        <w:t xml:space="preserve"> DNI </w:t>
      </w:r>
      <w:r>
        <w:t xml:space="preserve">                      , </w:t>
      </w:r>
      <w:r w:rsidRPr="00DF756C">
        <w:t>como ADMINISTRADOR.</w:t>
      </w:r>
    </w:p>
    <w:p w:rsidR="00EA0B10" w:rsidRPr="00AA347F" w:rsidRDefault="00EA0B10" w:rsidP="00B3377E">
      <w:pPr>
        <w:jc w:val="both"/>
        <w:rPr>
          <w:b/>
        </w:rPr>
      </w:pPr>
      <w:r w:rsidRPr="00AA347F">
        <w:rPr>
          <w:b/>
        </w:rPr>
        <w:t>II.-</w:t>
      </w:r>
      <w:r>
        <w:rPr>
          <w:b/>
        </w:rPr>
        <w:t xml:space="preserve"> </w:t>
      </w:r>
      <w:r w:rsidRPr="00AA347F">
        <w:rPr>
          <w:b/>
        </w:rPr>
        <w:t>ACTIVIDAD DE LA EMPRESA</w:t>
      </w:r>
    </w:p>
    <w:p w:rsidR="00EA0B10" w:rsidRDefault="00EA0B10" w:rsidP="00406BAE">
      <w:pPr>
        <w:jc w:val="both"/>
      </w:pPr>
      <w:r w:rsidRPr="00DF756C">
        <w:t xml:space="preserve">La </w:t>
      </w:r>
      <w:r>
        <w:t xml:space="preserve">empresa es titular de </w:t>
      </w:r>
      <w:r w:rsidRPr="00EC49DD">
        <w:rPr>
          <w:highlight w:val="yellow"/>
        </w:rPr>
        <w:t>un único</w:t>
      </w:r>
      <w:r>
        <w:t xml:space="preserve"> centro sanitario que tiene como objeto </w:t>
      </w:r>
      <w:r w:rsidRPr="00DF756C">
        <w:t xml:space="preserve">la realización de la práctica </w:t>
      </w:r>
      <w:r>
        <w:t>asistencial médica</w:t>
      </w:r>
      <w:r w:rsidRPr="00DF756C">
        <w:t xml:space="preserve"> </w:t>
      </w:r>
      <w:r>
        <w:t>y quirúrgica</w:t>
      </w:r>
      <w:r w:rsidRPr="00DF756C">
        <w:t xml:space="preserve"> correspondiente a la especialidad médica de OFTALMOLOGÍA.  (Código CNAE: 85120. Actividades Médicas)</w:t>
      </w:r>
      <w:r>
        <w:t>.</w:t>
      </w:r>
    </w:p>
    <w:p w:rsidR="00EA0B10" w:rsidRDefault="00EA0B10" w:rsidP="00406BAE">
      <w:pPr>
        <w:jc w:val="both"/>
      </w:pPr>
      <w:r>
        <w:t>La actividad principal es asistencial y la realizan médicos especialistas que para poder ejercer su actividad la empresa requieren de una estructura de recursos humanos que se detalla en el apartado IV.</w:t>
      </w:r>
    </w:p>
    <w:p w:rsidR="00EA0B10" w:rsidRDefault="00EA0B10" w:rsidP="00406BAE">
      <w:pPr>
        <w:jc w:val="both"/>
      </w:pPr>
      <w:r>
        <w:t>El centro sanitario se encuentra autorizado y registrado en la relación de centros sanitarios de la Consejería de Sanidad del Gobierno de               con el nº             .</w:t>
      </w:r>
    </w:p>
    <w:p w:rsidR="00EA0B10" w:rsidRDefault="00EA0B10" w:rsidP="00B63F13">
      <w:pPr>
        <w:jc w:val="both"/>
      </w:pPr>
      <w:r w:rsidRPr="00AA347F">
        <w:rPr>
          <w:b/>
        </w:rPr>
        <w:t>III.- SITUACIÓN DEL SECTOR</w:t>
      </w:r>
      <w:r>
        <w:t>.</w:t>
      </w:r>
    </w:p>
    <w:p w:rsidR="00EA0B10" w:rsidRPr="00DF756C" w:rsidRDefault="00EA0B10" w:rsidP="00B63F13">
      <w:pPr>
        <w:jc w:val="both"/>
      </w:pPr>
      <w:r w:rsidRPr="00DF756C">
        <w:t xml:space="preserve">La pandemia de COVID-19 está suponiendo una emergencia sanitaria a nivel global. </w:t>
      </w:r>
    </w:p>
    <w:p w:rsidR="00EA0B10" w:rsidRDefault="00EA0B10" w:rsidP="00F85529">
      <w:pPr>
        <w:pStyle w:val="parrafo"/>
        <w:shd w:val="clear" w:color="auto" w:fill="FFFFFF"/>
        <w:spacing w:before="180" w:beforeAutospacing="0" w:after="180" w:afterAutospacing="0"/>
        <w:jc w:val="both"/>
        <w:rPr>
          <w:rFonts w:ascii="Calibri" w:hAnsi="Calibri"/>
          <w:sz w:val="22"/>
          <w:szCs w:val="22"/>
          <w:lang w:eastAsia="en-US" w:bidi="ar-SA"/>
        </w:rPr>
      </w:pPr>
      <w:r w:rsidRPr="008C4DA4">
        <w:rPr>
          <w:rFonts w:ascii="Calibri" w:hAnsi="Calibri"/>
          <w:b/>
          <w:bCs/>
          <w:sz w:val="22"/>
          <w:szCs w:val="22"/>
          <w:lang w:eastAsia="en-US" w:bidi="ar-SA"/>
        </w:rPr>
        <w:t>La atención médica especializada en oftalmología</w:t>
      </w:r>
      <w:r>
        <w:rPr>
          <w:rFonts w:ascii="Calibri" w:hAnsi="Calibri"/>
          <w:b/>
          <w:bCs/>
          <w:sz w:val="22"/>
          <w:szCs w:val="22"/>
          <w:lang w:eastAsia="en-US" w:bidi="ar-SA"/>
        </w:rPr>
        <w:t xml:space="preserve"> </w:t>
      </w:r>
      <w:r w:rsidRPr="008C4DA4">
        <w:rPr>
          <w:rFonts w:ascii="Calibri" w:hAnsi="Calibri"/>
          <w:b/>
          <w:bCs/>
          <w:sz w:val="22"/>
          <w:szCs w:val="22"/>
          <w:lang w:eastAsia="en-US" w:bidi="ar-SA"/>
        </w:rPr>
        <w:t>constituye</w:t>
      </w:r>
      <w:r>
        <w:rPr>
          <w:rFonts w:ascii="Calibri" w:hAnsi="Calibri"/>
          <w:b/>
          <w:bCs/>
          <w:sz w:val="22"/>
          <w:szCs w:val="22"/>
          <w:lang w:eastAsia="en-US" w:bidi="ar-SA"/>
        </w:rPr>
        <w:t xml:space="preserve"> una de</w:t>
      </w:r>
      <w:r w:rsidRPr="008C4DA4">
        <w:rPr>
          <w:rFonts w:ascii="Calibri" w:hAnsi="Calibri"/>
          <w:b/>
          <w:bCs/>
          <w:sz w:val="22"/>
          <w:szCs w:val="22"/>
          <w:lang w:eastAsia="en-US" w:bidi="ar-SA"/>
        </w:rPr>
        <w:t xml:space="preserve"> las de más alto riesgo de contagio de la enfermedad</w:t>
      </w:r>
      <w:r>
        <w:rPr>
          <w:rFonts w:ascii="Calibri" w:hAnsi="Calibri"/>
          <w:sz w:val="22"/>
          <w:szCs w:val="22"/>
          <w:lang w:eastAsia="en-US" w:bidi="ar-SA"/>
        </w:rPr>
        <w:t xml:space="preserve">, debido a la proximidad en la que el profesional debe explorar/operar al paciente, estando más fácilmente afectado por los aerosoles con posible carga viral, siendo necesario además la realización de pruebas en dispositivos que requieren de limpieza después de cada uso debido a que existe evidencia científica de la permanencia de los virus en sus componentes. Por todo ello </w:t>
      </w:r>
      <w:r w:rsidRPr="00EC49DD">
        <w:rPr>
          <w:rFonts w:ascii="Calibri" w:hAnsi="Calibri"/>
          <w:b/>
          <w:bCs/>
          <w:sz w:val="22"/>
          <w:szCs w:val="22"/>
          <w:lang w:eastAsia="en-US" w:bidi="ar-SA"/>
        </w:rPr>
        <w:t>es necesario disponer de equipos de protección individual (EPI)</w:t>
      </w:r>
      <w:r>
        <w:rPr>
          <w:rFonts w:ascii="Calibri" w:hAnsi="Calibri"/>
          <w:sz w:val="22"/>
          <w:szCs w:val="22"/>
          <w:lang w:eastAsia="en-US" w:bidi="ar-SA"/>
        </w:rPr>
        <w:t xml:space="preserve"> para los profesionales y </w:t>
      </w:r>
      <w:r w:rsidRPr="00EC49DD">
        <w:rPr>
          <w:rFonts w:ascii="Calibri" w:hAnsi="Calibri"/>
          <w:b/>
          <w:bCs/>
          <w:sz w:val="22"/>
          <w:szCs w:val="22"/>
          <w:lang w:eastAsia="en-US" w:bidi="ar-SA"/>
        </w:rPr>
        <w:t>mascarillas para los pacientes</w:t>
      </w:r>
      <w:r>
        <w:rPr>
          <w:rFonts w:ascii="Calibri" w:hAnsi="Calibri"/>
          <w:sz w:val="22"/>
          <w:szCs w:val="22"/>
          <w:lang w:eastAsia="en-US" w:bidi="ar-SA"/>
        </w:rPr>
        <w:t xml:space="preserve">, </w:t>
      </w:r>
      <w:r w:rsidRPr="00EC49DD">
        <w:rPr>
          <w:rFonts w:ascii="Calibri" w:hAnsi="Calibri"/>
          <w:b/>
          <w:bCs/>
          <w:sz w:val="22"/>
          <w:szCs w:val="22"/>
          <w:lang w:eastAsia="en-US" w:bidi="ar-SA"/>
        </w:rPr>
        <w:t>soluciones hidroalcohólicas</w:t>
      </w:r>
      <w:r>
        <w:rPr>
          <w:rFonts w:ascii="Calibri" w:hAnsi="Calibri"/>
          <w:sz w:val="22"/>
          <w:szCs w:val="22"/>
          <w:lang w:eastAsia="en-US" w:bidi="ar-SA"/>
        </w:rPr>
        <w:t xml:space="preserve"> para la desinfección de manos y guantes y material desinfectante para el tratamiento constante de superficies sensibles. </w:t>
      </w:r>
    </w:p>
    <w:p w:rsidR="00EA0B10" w:rsidRDefault="00EA0B10" w:rsidP="00B63F13">
      <w:pPr>
        <w:pStyle w:val="parrafo"/>
        <w:shd w:val="clear" w:color="auto" w:fill="FFFFFF"/>
        <w:spacing w:before="180" w:beforeAutospacing="0" w:after="180" w:afterAutospacing="0"/>
        <w:jc w:val="both"/>
        <w:rPr>
          <w:rFonts w:ascii="Calibri" w:hAnsi="Calibri"/>
          <w:sz w:val="22"/>
          <w:szCs w:val="22"/>
          <w:lang w:eastAsia="en-US" w:bidi="ar-SA"/>
        </w:rPr>
      </w:pPr>
      <w:r w:rsidRPr="00DF756C">
        <w:rPr>
          <w:rFonts w:ascii="Calibri" w:hAnsi="Calibri"/>
          <w:sz w:val="22"/>
          <w:szCs w:val="22"/>
          <w:lang w:eastAsia="en-US" w:bidi="ar-SA"/>
        </w:rPr>
        <w:t xml:space="preserve">La crisis sanitaria se está transmitiendo a la economía y a la sociedad a una velocidad inusitada afectando la actividad productiva </w:t>
      </w:r>
      <w:r>
        <w:rPr>
          <w:rFonts w:ascii="Calibri" w:hAnsi="Calibri"/>
          <w:sz w:val="22"/>
          <w:szCs w:val="22"/>
          <w:lang w:eastAsia="en-US" w:bidi="ar-SA"/>
        </w:rPr>
        <w:t>de todas las empresas.</w:t>
      </w:r>
      <w:r w:rsidRPr="00DF756C">
        <w:rPr>
          <w:rFonts w:ascii="Calibri" w:hAnsi="Calibri"/>
          <w:sz w:val="22"/>
          <w:szCs w:val="22"/>
          <w:lang w:eastAsia="en-US" w:bidi="ar-SA"/>
        </w:rPr>
        <w:t xml:space="preserve"> La </w:t>
      </w:r>
      <w:r>
        <w:rPr>
          <w:rFonts w:ascii="Calibri" w:hAnsi="Calibri"/>
          <w:sz w:val="22"/>
          <w:szCs w:val="22"/>
          <w:lang w:eastAsia="en-US" w:bidi="ar-SA"/>
        </w:rPr>
        <w:t xml:space="preserve">emergencia sanitaria además ha requerido </w:t>
      </w:r>
      <w:r w:rsidRPr="008C4DA4">
        <w:rPr>
          <w:rFonts w:ascii="Calibri" w:hAnsi="Calibri"/>
          <w:sz w:val="22"/>
          <w:szCs w:val="22"/>
          <w:lang w:eastAsia="en-US" w:bidi="ar-SA"/>
        </w:rPr>
        <w:t>de medidas de contingencia</w:t>
      </w:r>
      <w:r>
        <w:rPr>
          <w:rFonts w:ascii="Calibri" w:hAnsi="Calibri"/>
          <w:sz w:val="22"/>
          <w:szCs w:val="22"/>
          <w:lang w:eastAsia="en-US" w:bidi="ar-SA"/>
        </w:rPr>
        <w:t xml:space="preserve"> dada la rápida propagación de la enfermedad que afectan la </w:t>
      </w:r>
      <w:r w:rsidRPr="00DF756C">
        <w:rPr>
          <w:rFonts w:ascii="Calibri" w:hAnsi="Calibri"/>
          <w:sz w:val="22"/>
          <w:szCs w:val="22"/>
          <w:lang w:eastAsia="en-US" w:bidi="ar-SA"/>
        </w:rPr>
        <w:t xml:space="preserve">economía </w:t>
      </w:r>
      <w:r>
        <w:rPr>
          <w:rFonts w:ascii="Calibri" w:hAnsi="Calibri"/>
          <w:sz w:val="22"/>
          <w:szCs w:val="22"/>
          <w:lang w:eastAsia="en-US" w:bidi="ar-SA"/>
        </w:rPr>
        <w:t xml:space="preserve">y el normal funcionamiento de centros sanitarios derivado del </w:t>
      </w:r>
      <w:r w:rsidRPr="008C4DA4">
        <w:rPr>
          <w:rFonts w:ascii="Calibri" w:hAnsi="Calibri"/>
          <w:b/>
          <w:bCs/>
          <w:sz w:val="22"/>
          <w:szCs w:val="22"/>
          <w:lang w:eastAsia="en-US" w:bidi="ar-SA"/>
        </w:rPr>
        <w:t>confinamiento</w:t>
      </w:r>
      <w:r>
        <w:rPr>
          <w:rFonts w:ascii="Calibri" w:hAnsi="Calibri"/>
          <w:sz w:val="22"/>
          <w:szCs w:val="22"/>
          <w:lang w:eastAsia="en-US" w:bidi="ar-SA"/>
        </w:rPr>
        <w:t xml:space="preserve"> obligatorio regulado dentro del marco del  </w:t>
      </w:r>
      <w:r w:rsidRPr="00DF756C">
        <w:rPr>
          <w:rFonts w:ascii="Calibri" w:hAnsi="Calibri"/>
          <w:sz w:val="22"/>
          <w:szCs w:val="22"/>
          <w:lang w:eastAsia="en-US" w:bidi="ar-SA"/>
        </w:rPr>
        <w:t>Real Decreto 463/2020 de 14 de marzo</w:t>
      </w:r>
      <w:r>
        <w:rPr>
          <w:rFonts w:ascii="Calibri" w:hAnsi="Calibri"/>
          <w:sz w:val="22"/>
          <w:szCs w:val="22"/>
          <w:lang w:eastAsia="en-US" w:bidi="ar-SA"/>
        </w:rPr>
        <w:t xml:space="preserve"> y a la dificultad de adquisición de bienes y suministros necesarios para la correcta atención en los servicios médicos, así como la </w:t>
      </w:r>
      <w:r w:rsidRPr="008C4DA4">
        <w:rPr>
          <w:rFonts w:ascii="Calibri" w:hAnsi="Calibri"/>
          <w:b/>
          <w:bCs/>
          <w:sz w:val="22"/>
          <w:szCs w:val="22"/>
          <w:lang w:eastAsia="en-US" w:bidi="ar-SA"/>
        </w:rPr>
        <w:t>ausencia de posibilidad de adquisición en estas fechas de elementos o equipos de protección individual</w:t>
      </w:r>
      <w:r>
        <w:rPr>
          <w:rFonts w:ascii="Calibri" w:hAnsi="Calibri"/>
          <w:sz w:val="22"/>
          <w:szCs w:val="22"/>
          <w:lang w:eastAsia="en-US" w:bidi="ar-SA"/>
        </w:rPr>
        <w:t xml:space="preserve"> que incluyen mascarillas, batas, gafas protectoras, </w:t>
      </w:r>
      <w:r w:rsidRPr="008C4DA4">
        <w:rPr>
          <w:rFonts w:ascii="Calibri" w:hAnsi="Calibri"/>
          <w:b/>
          <w:bCs/>
          <w:sz w:val="22"/>
          <w:szCs w:val="22"/>
          <w:lang w:eastAsia="en-US" w:bidi="ar-SA"/>
        </w:rPr>
        <w:t>y soluciones hidroalcohólicas</w:t>
      </w:r>
      <w:r>
        <w:rPr>
          <w:rFonts w:ascii="Calibri" w:hAnsi="Calibri"/>
          <w:sz w:val="22"/>
          <w:szCs w:val="22"/>
          <w:lang w:eastAsia="en-US" w:bidi="ar-SA"/>
        </w:rPr>
        <w:t xml:space="preserve"> que garanticen ausencia de posibilidad de contagio durante la atención necesaria a la ciudadanía en las consultas.</w:t>
      </w:r>
    </w:p>
    <w:p w:rsidR="00EA0B10" w:rsidRPr="00AA347F" w:rsidRDefault="00EA0B10" w:rsidP="00B3377E">
      <w:pPr>
        <w:jc w:val="both"/>
        <w:rPr>
          <w:b/>
        </w:rPr>
      </w:pPr>
      <w:r>
        <w:rPr>
          <w:b/>
        </w:rPr>
        <w:br w:type="page"/>
      </w:r>
      <w:r w:rsidRPr="00AA347F">
        <w:rPr>
          <w:b/>
        </w:rPr>
        <w:t>IV. ESTRUCTURA DE LA PLANTILLA</w:t>
      </w:r>
    </w:p>
    <w:p w:rsidR="00EA0B10" w:rsidRDefault="00EA0B10" w:rsidP="00B3377E">
      <w:pPr>
        <w:jc w:val="both"/>
      </w:pPr>
      <w:r>
        <w:t xml:space="preserve">La empresa cuenta con un total de    </w:t>
      </w:r>
      <w:r w:rsidRPr="008C4DA4">
        <w:t>empleados</w:t>
      </w:r>
      <w:r>
        <w:t xml:space="preserve"> contratados, cuyas características se detallan según:</w:t>
      </w:r>
    </w:p>
    <w:p w:rsidR="00EA0B10" w:rsidRPr="00D73DB2" w:rsidRDefault="00EA0B10" w:rsidP="007413A3">
      <w:pPr>
        <w:pStyle w:val="ListParagraph"/>
        <w:numPr>
          <w:ilvl w:val="0"/>
          <w:numId w:val="1"/>
        </w:numPr>
        <w:ind w:left="180" w:hanging="180"/>
        <w:jc w:val="both"/>
        <w:rPr>
          <w:u w:val="single"/>
        </w:rPr>
      </w:pPr>
      <w:r w:rsidRPr="00D73DB2">
        <w:rPr>
          <w:u w:val="single"/>
        </w:rPr>
        <w:t>Distribución por categorías profesionales:</w:t>
      </w:r>
    </w:p>
    <w:p w:rsidR="00EA0B10" w:rsidRPr="008C4DA4" w:rsidRDefault="00EA0B10" w:rsidP="00EC49DD">
      <w:r w:rsidRPr="008C4DA4">
        <w:t xml:space="preserve">Personal de Auxiliar de Recepción: </w:t>
      </w:r>
      <w:r>
        <w:t xml:space="preserve"> </w:t>
      </w:r>
      <w:r w:rsidRPr="008C4DA4">
        <w:t xml:space="preserve"> Puestos</w:t>
      </w:r>
      <w:r w:rsidRPr="008C4DA4">
        <w:br/>
        <w:t xml:space="preserve">Personal de Auxiliar Sanitarios: </w:t>
      </w:r>
      <w:r>
        <w:t xml:space="preserve"> </w:t>
      </w:r>
      <w:r w:rsidRPr="008C4DA4">
        <w:t xml:space="preserve"> Puestos</w:t>
      </w:r>
      <w:r w:rsidRPr="008C4DA4">
        <w:br/>
        <w:t xml:space="preserve">Personal de Administración: </w:t>
      </w:r>
      <w:r>
        <w:t xml:space="preserve"> </w:t>
      </w:r>
      <w:r w:rsidRPr="008C4DA4">
        <w:t xml:space="preserve"> Puestos</w:t>
      </w:r>
      <w:r w:rsidRPr="008C4DA4">
        <w:br/>
        <w:t xml:space="preserve">Personal Técnico (Óptico/Optometrista): </w:t>
      </w:r>
      <w:r>
        <w:t xml:space="preserve"> </w:t>
      </w:r>
      <w:r w:rsidRPr="008C4DA4">
        <w:t xml:space="preserve"> Puesto</w:t>
      </w:r>
      <w:r w:rsidRPr="008C4DA4">
        <w:br/>
        <w:t xml:space="preserve">Personal Técnico Sanitario (DUE): </w:t>
      </w:r>
      <w:r>
        <w:t xml:space="preserve"> </w:t>
      </w:r>
      <w:r w:rsidRPr="008C4DA4">
        <w:t xml:space="preserve"> Puestos</w:t>
      </w:r>
      <w:r w:rsidRPr="008C4DA4">
        <w:br/>
        <w:t xml:space="preserve">Personal </w:t>
      </w:r>
      <w:r>
        <w:t>Médico (</w:t>
      </w:r>
      <w:r w:rsidRPr="00EC49DD">
        <w:rPr>
          <w:highlight w:val="yellow"/>
        </w:rPr>
        <w:t xml:space="preserve">contratado </w:t>
      </w:r>
      <w:r>
        <w:rPr>
          <w:highlight w:val="yellow"/>
        </w:rPr>
        <w:t xml:space="preserve">con nómina </w:t>
      </w:r>
      <w:r w:rsidRPr="00EC49DD">
        <w:rPr>
          <w:highlight w:val="yellow"/>
        </w:rPr>
        <w:t>si lo hubiere</w:t>
      </w:r>
      <w:r w:rsidRPr="008C4DA4">
        <w:t xml:space="preserve">): </w:t>
      </w:r>
      <w:r>
        <w:t xml:space="preserve"> </w:t>
      </w:r>
      <w:r w:rsidRPr="008C4DA4">
        <w:t xml:space="preserve"> Puestos</w:t>
      </w:r>
    </w:p>
    <w:p w:rsidR="00EA0B10" w:rsidRPr="008C4DA4" w:rsidRDefault="00EA0B10" w:rsidP="00B63F13"/>
    <w:p w:rsidR="00EA0B10" w:rsidRPr="00D73DB2" w:rsidRDefault="00EA0B10" w:rsidP="00B63F13">
      <w:pPr>
        <w:rPr>
          <w:u w:val="single"/>
        </w:rPr>
      </w:pPr>
      <w:r w:rsidRPr="00D73DB2">
        <w:rPr>
          <w:u w:val="single"/>
        </w:rPr>
        <w:t>2. Distribución por tipos de contrato.</w:t>
      </w:r>
    </w:p>
    <w:p w:rsidR="00EA0B10" w:rsidRDefault="00EA0B10" w:rsidP="00AA347F">
      <w:r w:rsidRPr="008C4DA4">
        <w:t xml:space="preserve">Número de contratos INDEFINIDOS: </w:t>
      </w:r>
      <w:r>
        <w:t xml:space="preserve"> </w:t>
      </w:r>
    </w:p>
    <w:p w:rsidR="00EA0B10" w:rsidRPr="008C4DA4" w:rsidRDefault="00EA0B10" w:rsidP="00AA347F">
      <w:r w:rsidRPr="008C4DA4">
        <w:t xml:space="preserve">Número de contratos TEMPORALES: </w:t>
      </w:r>
      <w:r>
        <w:t xml:space="preserve"> </w:t>
      </w:r>
    </w:p>
    <w:p w:rsidR="00EA0B10" w:rsidRPr="00D73DB2" w:rsidRDefault="00EA0B10" w:rsidP="00B3377E">
      <w:pPr>
        <w:jc w:val="both"/>
        <w:rPr>
          <w:u w:val="single"/>
        </w:rPr>
      </w:pPr>
      <w:r w:rsidRPr="00D73DB2">
        <w:rPr>
          <w:u w:val="single"/>
        </w:rPr>
        <w:t>3. Distribución por Centro de trabajo (CC.AA - Provincia)</w:t>
      </w:r>
    </w:p>
    <w:p w:rsidR="00EA0B10" w:rsidRDefault="00EA0B10" w:rsidP="00B3377E">
      <w:pPr>
        <w:jc w:val="both"/>
      </w:pPr>
      <w:r w:rsidRPr="008C4DA4">
        <w:t xml:space="preserve">La TOTALIDAD de empleados de la empresa ejerce su puesto de trabajo en el </w:t>
      </w:r>
      <w:r w:rsidRPr="00EC49DD">
        <w:rPr>
          <w:highlight w:val="yellow"/>
        </w:rPr>
        <w:t>ÚNICO</w:t>
      </w:r>
      <w:r w:rsidRPr="008C4DA4">
        <w:t xml:space="preserve"> Centro de Trabajo del que dispone la Sociedad, con el nombre comercial: </w:t>
      </w:r>
      <w:r>
        <w:t xml:space="preserve">                    </w:t>
      </w:r>
      <w:r w:rsidRPr="008C4DA4">
        <w:t xml:space="preserve">, y situado en el </w:t>
      </w:r>
      <w:r w:rsidRPr="00EC49DD">
        <w:rPr>
          <w:highlight w:val="yellow"/>
        </w:rPr>
        <w:t>mismo domicilio fiscal de la misma</w:t>
      </w:r>
      <w:r>
        <w:t xml:space="preserve"> (referir si es otro)</w:t>
      </w:r>
      <w:r w:rsidRPr="008C4DA4">
        <w:t xml:space="preserve">, sito en: </w:t>
      </w:r>
      <w:r>
        <w:t xml:space="preserve">                             </w:t>
      </w:r>
      <w:r w:rsidRPr="008C4DA4">
        <w:t>C.P:</w:t>
      </w:r>
      <w:r>
        <w:t xml:space="preserve">                        </w:t>
      </w:r>
      <w:r w:rsidRPr="008C4DA4">
        <w:t>,</w:t>
      </w:r>
      <w:r>
        <w:t xml:space="preserve"> provincia de                           .</w:t>
      </w:r>
    </w:p>
    <w:p w:rsidR="00EA0B10" w:rsidRPr="00D73DB2" w:rsidRDefault="00EA0B10" w:rsidP="00B3377E">
      <w:pPr>
        <w:jc w:val="both"/>
        <w:rPr>
          <w:u w:val="single"/>
        </w:rPr>
      </w:pPr>
      <w:r w:rsidRPr="00D73DB2">
        <w:rPr>
          <w:u w:val="single"/>
        </w:rPr>
        <w:t>4. Distribución por sexo.</w:t>
      </w:r>
    </w:p>
    <w:p w:rsidR="00EA0B10" w:rsidRDefault="00EA0B10" w:rsidP="00AA347F">
      <w:r w:rsidRPr="008C4DA4">
        <w:t xml:space="preserve">Numero de empleados mujeres: </w:t>
      </w:r>
    </w:p>
    <w:p w:rsidR="00EA0B10" w:rsidRDefault="00EA0B10" w:rsidP="00AA347F">
      <w:r w:rsidRPr="008C4DA4">
        <w:t xml:space="preserve">Número de empleados varones: </w:t>
      </w:r>
    </w:p>
    <w:p w:rsidR="00EA0B10" w:rsidRPr="00D25D04" w:rsidRDefault="00EA0B10" w:rsidP="00B3377E">
      <w:pPr>
        <w:jc w:val="both"/>
        <w:rPr>
          <w:b/>
        </w:rPr>
      </w:pPr>
      <w:r w:rsidRPr="00D25D04">
        <w:rPr>
          <w:b/>
        </w:rPr>
        <w:t>V.- CAUSAS QUE MOTIVAN LA PRESENTACIÓN DEL EXPEDIENTE DE REGULACIÓN TEMPORAL DE EMPLEO</w:t>
      </w:r>
      <w:r>
        <w:rPr>
          <w:b/>
        </w:rPr>
        <w:t xml:space="preserve"> DE FUERZA MAYOR</w:t>
      </w:r>
    </w:p>
    <w:p w:rsidR="00EA0B10" w:rsidRDefault="00EA0B10" w:rsidP="00B3377E">
      <w:pPr>
        <w:jc w:val="both"/>
      </w:pPr>
      <w:r w:rsidRPr="008C4DA4">
        <w:t>La</w:t>
      </w:r>
      <w:r>
        <w:t xml:space="preserve"> situación expuesta en el apartado III de este documento se ha traducido en una disminución muy importante de la actividad asistencial en el único centro de nuestra empresa.</w:t>
      </w:r>
    </w:p>
    <w:p w:rsidR="00EA0B10" w:rsidRDefault="00EA0B10" w:rsidP="00F85529">
      <w:pPr>
        <w:jc w:val="both"/>
      </w:pPr>
      <w:r>
        <w:t>Ante esta situación, y debido al alto riesgo de propagación de la enfermedad referido para nuestra especialidad las sociedades científicas de nuestra especialidad en un comunicado conjunto han instado públicamente a todos los centros oftalmológicos a llevar a cabo exclusivamente la atención derivada de urgencias y casos sin posibilidad de demora:</w:t>
      </w:r>
    </w:p>
    <w:p w:rsidR="00EA0B10" w:rsidRDefault="00EA0B10" w:rsidP="00F85529">
      <w:pPr>
        <w:jc w:val="both"/>
      </w:pPr>
      <w:r>
        <w:t xml:space="preserve"> (</w:t>
      </w:r>
      <w:hyperlink r:id="rId5" w:history="1">
        <w:r w:rsidRPr="00B63F13">
          <w:rPr>
            <w:rStyle w:val="Hyperlink"/>
            <w:sz w:val="20"/>
            <w:szCs w:val="20"/>
          </w:rPr>
          <w:t>https://www.oftalmoseo.com/documentacion/comunicado_conjunto_oftalmologia_covid19.pdf</w:t>
        </w:r>
      </w:hyperlink>
      <w:r>
        <w:t>).</w:t>
      </w:r>
    </w:p>
    <w:p w:rsidR="00EA0B10" w:rsidRDefault="00EA0B10" w:rsidP="00DC6093">
      <w:pPr>
        <w:jc w:val="both"/>
      </w:pPr>
      <w:r>
        <w:t xml:space="preserve">Es pública y notoria la extrema dificultad de abastecimiento para todos los profesionales en lo referente a equipos de protección, soluciones hidroalcohólicas y otros productos desinfectantes. Nuestra empresa padece actualmente la imposibilidad de abastecimiento de suministros de este tipo necesarios para una correcta asistencia con los mínimos criterios deontológicos. El comunicado oficial el Consejo General de Colegios Oficiales de Médicos se hace eco de este hecho: </w:t>
      </w:r>
    </w:p>
    <w:p w:rsidR="00EA0B10" w:rsidRDefault="00EA0B10" w:rsidP="00DC6093">
      <w:pPr>
        <w:jc w:val="both"/>
      </w:pPr>
      <w:r>
        <w:t xml:space="preserve"> (</w:t>
      </w:r>
      <w:hyperlink r:id="rId6" w:history="1">
        <w:r w:rsidRPr="004546CF">
          <w:rPr>
            <w:rStyle w:val="Hyperlink"/>
            <w:sz w:val="20"/>
            <w:szCs w:val="20"/>
          </w:rPr>
          <w:t>https://www.cgcom.es/sites/default/files//u183/n.p._coronavirus_22_3_20_cgcom_niundiamas.pdf</w:t>
        </w:r>
      </w:hyperlink>
      <w:r>
        <w:t>).</w:t>
      </w:r>
    </w:p>
    <w:p w:rsidR="00EA0B10" w:rsidRDefault="00EA0B10" w:rsidP="007F1C97">
      <w:pPr>
        <w:jc w:val="both"/>
      </w:pPr>
      <w:r>
        <w:t xml:space="preserve">Al margen del material necesario para los equipos de protección individual para profesionales y pacientes la situación decretada y sus medidas adoptadas impide el correcto abastecimiento del resto de materiales específicos: fungibles, clínicos, protésicos, etc… necesarios para la debida atención. </w:t>
      </w:r>
    </w:p>
    <w:p w:rsidR="00EA0B10" w:rsidRDefault="00EA0B10" w:rsidP="00CA7840">
      <w:pPr>
        <w:jc w:val="both"/>
      </w:pPr>
      <w:r>
        <w:t xml:space="preserve">Desde la adopción por el gobierno del Estado de Alarma nuestra empresa viene comunicando en redes sociales y de forma telefónica a sus pacientes el establecimiento de medidas en la actividad de nuestro centro para disminuir la propagación del virus, disminuyendo su horario de apertura y adoptando normas de protección para el personal y los pacientes, así como cancelando por responsabilidad sanitaria la mayor parte de la citación de consulta y todo proceso quirúrgico que pueda ser demorado. </w:t>
      </w:r>
    </w:p>
    <w:p w:rsidR="00EA0B10" w:rsidRDefault="00EA0B10" w:rsidP="00CA7840">
      <w:pPr>
        <w:jc w:val="both"/>
      </w:pPr>
      <w:r>
        <w:t xml:space="preserve">Por responsabilidad social corporativa </w:t>
      </w:r>
      <w:r w:rsidRPr="00A96C65">
        <w:rPr>
          <w:b/>
          <w:bCs/>
        </w:rPr>
        <w:t>se ha decidido continuar con actividad</w:t>
      </w:r>
      <w:r>
        <w:t xml:space="preserve">, aunque muy limitada </w:t>
      </w:r>
      <w:r w:rsidRPr="00A96C65">
        <w:rPr>
          <w:b/>
          <w:bCs/>
        </w:rPr>
        <w:t>para poder responder a una eventual necesidad de atención urgente en nuestro ámbito si la sanidad pública lo requiere</w:t>
      </w:r>
      <w:r>
        <w:t xml:space="preserve"> o si en la misma no fuera aconsejable por el riesgo añadido de propagación con la necesidad de derivación a centros como el nuestro.</w:t>
      </w:r>
    </w:p>
    <w:p w:rsidR="00EA0B10" w:rsidRDefault="00EA0B10" w:rsidP="00CA7840">
      <w:pPr>
        <w:jc w:val="both"/>
      </w:pPr>
      <w:r>
        <w:t>A la realización de este informe el periodo transcurrido desde la adopción del Estado de Alarma y sus medidas es de una semana (16-20 de marzo), tiempo suficiente en este escenario para la realización de una auditoría interna comparativa de niveles cuantitativos de actividad asistencial.</w:t>
      </w:r>
      <w:r w:rsidRPr="00CC670C">
        <w:t xml:space="preserve"> </w:t>
      </w:r>
      <w:r>
        <w:t xml:space="preserve">La actividad se refiere a multitud de procesos que incluyen consultas, pruebas clínicas diagnósticas y procesos terapéuticos médicos y quirúrgicos. </w:t>
      </w:r>
    </w:p>
    <w:p w:rsidR="00EA0B10" w:rsidRDefault="00EA0B10" w:rsidP="00CA7840">
      <w:pPr>
        <w:jc w:val="both"/>
      </w:pPr>
      <w:r>
        <w:t xml:space="preserve">Mostraremos a continuación los indicadores asistenciales de esa primera semana tras el Decreto del Estado de Alarma y los compararemos con la </w:t>
      </w:r>
      <w:r w:rsidRPr="00C3457B">
        <w:rPr>
          <w:b/>
          <w:bCs/>
        </w:rPr>
        <w:t>semana inmediatamente anterior</w:t>
      </w:r>
      <w:r>
        <w:t xml:space="preserve"> para establecer el posible escenario que habría que considerar para actuar en consecuencia: </w:t>
      </w:r>
    </w:p>
    <w:p w:rsidR="00EA0B10" w:rsidRPr="0065584F" w:rsidRDefault="00EA0B10" w:rsidP="00CA7840">
      <w:pPr>
        <w:spacing w:after="120" w:line="240" w:lineRule="auto"/>
        <w:jc w:val="both"/>
        <w:rPr>
          <w:sz w:val="20"/>
          <w:szCs w:val="20"/>
        </w:rPr>
      </w:pPr>
      <w:r w:rsidRPr="0065584F">
        <w:rPr>
          <w:b/>
          <w:bCs/>
          <w:sz w:val="20"/>
          <w:szCs w:val="20"/>
        </w:rPr>
        <w:t>SEMANA DESPUÉS DEL DECRETO DEL ESTADO DE ALARMA (16-20 MARZO):</w:t>
      </w:r>
      <w:r>
        <w:rPr>
          <w:b/>
          <w:bCs/>
          <w:sz w:val="20"/>
          <w:szCs w:val="20"/>
        </w:rPr>
        <w:t xml:space="preserve"> </w:t>
      </w:r>
      <w:r>
        <w:rPr>
          <w:sz w:val="20"/>
          <w:szCs w:val="20"/>
        </w:rPr>
        <w:t xml:space="preserve">PACIENTES ATENDIDOS:  </w:t>
      </w:r>
    </w:p>
    <w:p w:rsidR="00EA0B10" w:rsidRPr="0065584F" w:rsidRDefault="00EA0B10" w:rsidP="00CA7840">
      <w:pPr>
        <w:spacing w:after="120" w:line="240" w:lineRule="auto"/>
        <w:jc w:val="both"/>
        <w:rPr>
          <w:sz w:val="20"/>
          <w:szCs w:val="20"/>
        </w:rPr>
      </w:pPr>
      <w:r w:rsidRPr="0065584F">
        <w:rPr>
          <w:b/>
          <w:bCs/>
          <w:sz w:val="20"/>
          <w:szCs w:val="20"/>
        </w:rPr>
        <w:t>SEMANA ANTERIOR AL DECRETO DEL ESTADO DE ALARMA (9-13 MARZO):</w:t>
      </w:r>
      <w:r>
        <w:rPr>
          <w:b/>
          <w:bCs/>
          <w:sz w:val="20"/>
          <w:szCs w:val="20"/>
        </w:rPr>
        <w:t xml:space="preserve"> </w:t>
      </w:r>
      <w:r w:rsidRPr="0065584F">
        <w:rPr>
          <w:sz w:val="20"/>
          <w:szCs w:val="20"/>
        </w:rPr>
        <w:t xml:space="preserve">PACIENTES ATENDIDOS: </w:t>
      </w:r>
      <w:r>
        <w:rPr>
          <w:sz w:val="20"/>
          <w:szCs w:val="20"/>
        </w:rPr>
        <w:t xml:space="preserve"> </w:t>
      </w:r>
    </w:p>
    <w:p w:rsidR="00EA0B10" w:rsidRPr="0065584F" w:rsidRDefault="00EA0B10" w:rsidP="00CA7840">
      <w:pPr>
        <w:spacing w:after="120" w:line="240" w:lineRule="auto"/>
        <w:jc w:val="both"/>
        <w:rPr>
          <w:sz w:val="20"/>
          <w:szCs w:val="20"/>
        </w:rPr>
      </w:pPr>
      <w:r w:rsidRPr="0065584F">
        <w:rPr>
          <w:b/>
          <w:bCs/>
          <w:caps/>
          <w:sz w:val="20"/>
          <w:szCs w:val="20"/>
        </w:rPr>
        <w:t>Diferencia observada entre ambas semanas:</w:t>
      </w:r>
      <w:r>
        <w:rPr>
          <w:b/>
          <w:bCs/>
          <w:caps/>
          <w:sz w:val="20"/>
          <w:szCs w:val="20"/>
        </w:rPr>
        <w:t xml:space="preserve"> </w:t>
      </w:r>
      <w:r w:rsidRPr="0065584F">
        <w:rPr>
          <w:sz w:val="20"/>
          <w:szCs w:val="20"/>
        </w:rPr>
        <w:t xml:space="preserve">PACIENTES ATENDIDOS: </w:t>
      </w:r>
      <w:r w:rsidRPr="00DC6093">
        <w:rPr>
          <w:sz w:val="20"/>
          <w:szCs w:val="20"/>
          <w:highlight w:val="yellow"/>
        </w:rPr>
        <w:t>-81.5 %</w:t>
      </w:r>
      <w:r>
        <w:rPr>
          <w:sz w:val="20"/>
          <w:szCs w:val="20"/>
        </w:rPr>
        <w:t xml:space="preserve"> </w:t>
      </w:r>
      <w:r w:rsidRPr="00DC6093">
        <w:rPr>
          <w:sz w:val="20"/>
          <w:szCs w:val="20"/>
          <w:highlight w:val="yellow"/>
        </w:rPr>
        <w:t>calcular</w:t>
      </w:r>
    </w:p>
    <w:p w:rsidR="00EA0B10" w:rsidRDefault="00EA0B10" w:rsidP="00CA7840">
      <w:pPr>
        <w:jc w:val="both"/>
      </w:pPr>
      <w:r>
        <w:t xml:space="preserve">Por tanto la auditoría interna realizada en el periodo observado muestra una importante reducción del nivel asistencial realizado (81.5 %) respecto a la semana anterior. </w:t>
      </w:r>
    </w:p>
    <w:p w:rsidR="00EA0B10" w:rsidRDefault="00EA0B10" w:rsidP="00CA7840">
      <w:pPr>
        <w:jc w:val="both"/>
      </w:pPr>
      <w:r>
        <w:t xml:space="preserve">Todo parece indicar que es muy probable que el horizonte temporal del cese del escenario actual no se limite a un periodo a corto plazo, dada la reciente prolongación del estado de alarma por lo que la disminución tan acentuada de nuestra demanda asistencial es un indicador incuestionable para una reorganización de la plantilla actual, con el fin de garantizar la viabilidad de la empresa ante un escenario previsiblemente prolongado en el tiempo. </w:t>
      </w:r>
    </w:p>
    <w:p w:rsidR="00EA0B10" w:rsidRPr="008C4DA4" w:rsidRDefault="00EA0B10" w:rsidP="00CA7840">
      <w:pPr>
        <w:jc w:val="both"/>
      </w:pPr>
      <w:r>
        <w:t xml:space="preserve">Dado que </w:t>
      </w:r>
      <w:r w:rsidRPr="00DC6093">
        <w:rPr>
          <w:b/>
          <w:bCs/>
        </w:rPr>
        <w:t>una vez que se restaure la normalidad</w:t>
      </w:r>
      <w:r>
        <w:t xml:space="preserve"> y se retorne a un escenario similar al presente antes de la pandemia </w:t>
      </w:r>
      <w:r w:rsidRPr="00DC6093">
        <w:rPr>
          <w:b/>
          <w:bCs/>
        </w:rPr>
        <w:t>precisaremos otra vez de la totalidad de la plantilla</w:t>
      </w:r>
      <w:r>
        <w:t xml:space="preserve"> creemos que la tramitación de un expediente de regulación temporal de empleo (</w:t>
      </w:r>
      <w:r w:rsidRPr="00DC6093">
        <w:rPr>
          <w:b/>
          <w:bCs/>
        </w:rPr>
        <w:t>ERTE</w:t>
      </w:r>
      <w:r>
        <w:t xml:space="preserve">) por causas de fuerza mayor </w:t>
      </w:r>
      <w:r w:rsidRPr="00DC6093">
        <w:rPr>
          <w:b/>
          <w:bCs/>
        </w:rPr>
        <w:t xml:space="preserve">intentando preservar el mayor número de puestos de trabajo </w:t>
      </w:r>
      <w:r>
        <w:t>es la mejor opción para garantizar dicha viabilidad.</w:t>
      </w:r>
    </w:p>
    <w:p w:rsidR="00EA0B10" w:rsidRPr="00D25D04" w:rsidRDefault="00EA0B10" w:rsidP="00CA7840">
      <w:pPr>
        <w:jc w:val="both"/>
        <w:rPr>
          <w:b/>
        </w:rPr>
      </w:pPr>
      <w:r>
        <w:rPr>
          <w:b/>
        </w:rPr>
        <w:br w:type="page"/>
      </w:r>
      <w:r w:rsidRPr="00D25D04">
        <w:rPr>
          <w:b/>
        </w:rPr>
        <w:t>VI.- ALCANCE DEL EXPEDIENTE DE REGULACI0N TEMPORAL DE EMPLEO</w:t>
      </w:r>
    </w:p>
    <w:p w:rsidR="00EA0B10" w:rsidRDefault="00EA0B10" w:rsidP="0065584F">
      <w:pPr>
        <w:jc w:val="both"/>
      </w:pPr>
      <w:r w:rsidRPr="00676E8F">
        <w:t xml:space="preserve">La empresa </w:t>
      </w:r>
      <w:r>
        <w:t xml:space="preserve">actualmente </w:t>
      </w:r>
      <w:r w:rsidRPr="00676E8F">
        <w:t xml:space="preserve">cuenta con una plantilla actual de </w:t>
      </w:r>
      <w:r>
        <w:t xml:space="preserve">       </w:t>
      </w:r>
      <w:r w:rsidRPr="00676E8F">
        <w:t xml:space="preserve">empleados </w:t>
      </w:r>
      <w:r>
        <w:t xml:space="preserve">en su único </w:t>
      </w:r>
      <w:r w:rsidRPr="00676E8F">
        <w:t xml:space="preserve">centro de trabajo.  </w:t>
      </w:r>
      <w:r>
        <w:t xml:space="preserve">Como se ha referido anteriormente existe una drástica reducción de la actividad pero la intención de la empresa es seguir ofreciendo servicios médicos de urgencias por una cuestión de responsabilidad social corporativa. </w:t>
      </w:r>
    </w:p>
    <w:p w:rsidR="00EA0B10" w:rsidRDefault="00EA0B10" w:rsidP="00423B20">
      <w:pPr>
        <w:jc w:val="both"/>
      </w:pPr>
      <w:r>
        <w:t>Cabe destacar que de la totalidad de la plantilla    puestos no van a verse afectados por esta propuesta.</w:t>
      </w:r>
    </w:p>
    <w:p w:rsidR="00EA0B10" w:rsidRDefault="00EA0B10" w:rsidP="00423B20">
      <w:pPr>
        <w:jc w:val="both"/>
      </w:pPr>
      <w:r>
        <w:t xml:space="preserve">En las siguientes tablas detallamos los datos de los trabajadores afectos en base a la reducción de jornada propuesta: </w:t>
      </w:r>
    </w:p>
    <w:p w:rsidR="00EA0B10" w:rsidRPr="00676E8F" w:rsidRDefault="00EA0B10" w:rsidP="00B3377E">
      <w:pPr>
        <w:jc w:val="both"/>
        <w:rPr>
          <w:b/>
        </w:rPr>
      </w:pPr>
      <w:r>
        <w:rPr>
          <w:b/>
        </w:rPr>
        <w:t>Tabla I.</w:t>
      </w:r>
      <w:r w:rsidRPr="00676E8F">
        <w:rPr>
          <w:b/>
        </w:rPr>
        <w:t xml:space="preserve">- </w:t>
      </w:r>
      <w:r>
        <w:rPr>
          <w:b/>
        </w:rPr>
        <w:t>Trabajadores de p</w:t>
      </w:r>
      <w:r w:rsidRPr="00676E8F">
        <w:rPr>
          <w:b/>
        </w:rPr>
        <w:t xml:space="preserve">lantilla con reducción de jornada de un </w:t>
      </w:r>
      <w:r>
        <w:rPr>
          <w:b/>
        </w:rPr>
        <w:t>25</w:t>
      </w:r>
      <w:r w:rsidRPr="00676E8F">
        <w:rPr>
          <w:b/>
        </w:rPr>
        <w:t>%</w:t>
      </w:r>
      <w:r>
        <w:rPr>
          <w:b/>
        </w:rPr>
        <w:t>.</w:t>
      </w:r>
    </w:p>
    <w:tbl>
      <w:tblPr>
        <w:tblpPr w:leftFromText="141" w:rightFromText="141" w:vertAnchor="text" w:horzAnchor="margin" w:tblpX="87" w:tblpY="13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237"/>
        <w:gridCol w:w="1080"/>
        <w:gridCol w:w="1440"/>
        <w:gridCol w:w="1260"/>
        <w:gridCol w:w="1800"/>
        <w:gridCol w:w="1440"/>
      </w:tblGrid>
      <w:tr w:rsidR="00EA0B10" w:rsidRPr="005B063B">
        <w:tc>
          <w:tcPr>
            <w:tcW w:w="671" w:type="dxa"/>
            <w:vAlign w:val="bottom"/>
          </w:tcPr>
          <w:p w:rsidR="00EA0B10" w:rsidRPr="00973266" w:rsidRDefault="00EA0B10" w:rsidP="00973266">
            <w:pPr>
              <w:jc w:val="center"/>
              <w:rPr>
                <w:rFonts w:cs="Calibri"/>
                <w:b/>
                <w:bCs/>
                <w:caps/>
                <w:color w:val="000000"/>
                <w:sz w:val="18"/>
                <w:szCs w:val="18"/>
                <w:lang w:eastAsia="es-ES"/>
              </w:rPr>
            </w:pPr>
            <w:r w:rsidRPr="00973266">
              <w:rPr>
                <w:rFonts w:cs="Calibri"/>
                <w:b/>
                <w:bCs/>
                <w:caps/>
                <w:color w:val="000000"/>
                <w:sz w:val="18"/>
                <w:szCs w:val="18"/>
              </w:rPr>
              <w:t>% RED</w:t>
            </w:r>
          </w:p>
        </w:tc>
        <w:tc>
          <w:tcPr>
            <w:tcW w:w="1237" w:type="dxa"/>
            <w:vAlign w:val="bottom"/>
          </w:tcPr>
          <w:p w:rsidR="00EA0B10" w:rsidRPr="00973266" w:rsidRDefault="00EA0B10" w:rsidP="00973266">
            <w:pPr>
              <w:jc w:val="center"/>
              <w:rPr>
                <w:rFonts w:cs="Calibri"/>
                <w:b/>
                <w:bCs/>
                <w:caps/>
                <w:color w:val="000000"/>
                <w:sz w:val="18"/>
                <w:szCs w:val="18"/>
              </w:rPr>
            </w:pPr>
            <w:r w:rsidRPr="00973266">
              <w:rPr>
                <w:rFonts w:cs="Calibri"/>
                <w:b/>
                <w:bCs/>
                <w:caps/>
                <w:color w:val="000000"/>
                <w:sz w:val="18"/>
                <w:szCs w:val="18"/>
              </w:rPr>
              <w:t>Primer Apellido</w:t>
            </w:r>
          </w:p>
        </w:tc>
        <w:tc>
          <w:tcPr>
            <w:tcW w:w="1080" w:type="dxa"/>
            <w:vAlign w:val="bottom"/>
          </w:tcPr>
          <w:p w:rsidR="00EA0B10" w:rsidRPr="00973266" w:rsidRDefault="00EA0B10" w:rsidP="00973266">
            <w:pPr>
              <w:jc w:val="center"/>
              <w:rPr>
                <w:rFonts w:cs="Calibri"/>
                <w:b/>
                <w:bCs/>
                <w:caps/>
                <w:color w:val="000000"/>
                <w:sz w:val="18"/>
                <w:szCs w:val="18"/>
              </w:rPr>
            </w:pPr>
            <w:r w:rsidRPr="00973266">
              <w:rPr>
                <w:rFonts w:cs="Calibri"/>
                <w:b/>
                <w:bCs/>
                <w:caps/>
                <w:color w:val="000000"/>
                <w:sz w:val="18"/>
                <w:szCs w:val="18"/>
              </w:rPr>
              <w:t>Segundo Apellido</w:t>
            </w:r>
          </w:p>
        </w:tc>
        <w:tc>
          <w:tcPr>
            <w:tcW w:w="1440" w:type="dxa"/>
            <w:vAlign w:val="bottom"/>
          </w:tcPr>
          <w:p w:rsidR="00EA0B10" w:rsidRPr="00973266" w:rsidRDefault="00EA0B10" w:rsidP="00973266">
            <w:pPr>
              <w:jc w:val="center"/>
              <w:rPr>
                <w:rFonts w:cs="Calibri"/>
                <w:b/>
                <w:bCs/>
                <w:caps/>
                <w:color w:val="000000"/>
                <w:sz w:val="18"/>
                <w:szCs w:val="18"/>
              </w:rPr>
            </w:pPr>
            <w:r w:rsidRPr="00973266">
              <w:rPr>
                <w:rFonts w:cs="Calibri"/>
                <w:b/>
                <w:bCs/>
                <w:caps/>
                <w:color w:val="000000"/>
                <w:sz w:val="18"/>
                <w:szCs w:val="18"/>
              </w:rPr>
              <w:t>Nombre</w:t>
            </w:r>
          </w:p>
        </w:tc>
        <w:tc>
          <w:tcPr>
            <w:tcW w:w="1260" w:type="dxa"/>
            <w:vAlign w:val="bottom"/>
          </w:tcPr>
          <w:p w:rsidR="00EA0B10" w:rsidRPr="00973266" w:rsidRDefault="00EA0B10" w:rsidP="00973266">
            <w:pPr>
              <w:jc w:val="center"/>
              <w:rPr>
                <w:rFonts w:cs="Calibri"/>
                <w:b/>
                <w:bCs/>
                <w:caps/>
                <w:color w:val="000000"/>
                <w:sz w:val="18"/>
                <w:szCs w:val="18"/>
              </w:rPr>
            </w:pPr>
            <w:r w:rsidRPr="00973266">
              <w:rPr>
                <w:rFonts w:cs="Calibri"/>
                <w:b/>
                <w:bCs/>
                <w:caps/>
                <w:color w:val="000000"/>
                <w:sz w:val="18"/>
                <w:szCs w:val="18"/>
              </w:rPr>
              <w:t>DNI/NIF</w:t>
            </w:r>
          </w:p>
        </w:tc>
        <w:tc>
          <w:tcPr>
            <w:tcW w:w="1800" w:type="dxa"/>
            <w:vAlign w:val="bottom"/>
          </w:tcPr>
          <w:p w:rsidR="00EA0B10" w:rsidRPr="00973266" w:rsidRDefault="00EA0B10" w:rsidP="00973266">
            <w:pPr>
              <w:jc w:val="center"/>
              <w:rPr>
                <w:rFonts w:cs="Calibri"/>
                <w:b/>
                <w:bCs/>
                <w:caps/>
                <w:color w:val="000000"/>
                <w:sz w:val="18"/>
                <w:szCs w:val="18"/>
              </w:rPr>
            </w:pPr>
            <w:r w:rsidRPr="00973266">
              <w:rPr>
                <w:rFonts w:cs="Calibri"/>
                <w:b/>
                <w:bCs/>
                <w:caps/>
                <w:color w:val="000000"/>
                <w:sz w:val="18"/>
                <w:szCs w:val="18"/>
              </w:rPr>
              <w:t>Nº Afiliación Seg. Social</w:t>
            </w:r>
          </w:p>
        </w:tc>
        <w:tc>
          <w:tcPr>
            <w:tcW w:w="1440" w:type="dxa"/>
            <w:vAlign w:val="bottom"/>
          </w:tcPr>
          <w:p w:rsidR="00EA0B10" w:rsidRPr="00973266" w:rsidRDefault="00EA0B10" w:rsidP="00973266">
            <w:pPr>
              <w:jc w:val="center"/>
              <w:rPr>
                <w:rFonts w:cs="Calibri"/>
                <w:b/>
                <w:bCs/>
                <w:caps/>
                <w:color w:val="000000"/>
                <w:sz w:val="18"/>
                <w:szCs w:val="18"/>
              </w:rPr>
            </w:pPr>
            <w:r w:rsidRPr="00973266">
              <w:rPr>
                <w:rFonts w:cs="Calibri"/>
                <w:b/>
                <w:bCs/>
                <w:caps/>
                <w:color w:val="000000"/>
                <w:sz w:val="18"/>
                <w:szCs w:val="18"/>
              </w:rPr>
              <w:t>Grupo Profesional</w:t>
            </w:r>
          </w:p>
        </w:tc>
      </w:tr>
      <w:tr w:rsidR="00EA0B10">
        <w:tc>
          <w:tcPr>
            <w:tcW w:w="671" w:type="dxa"/>
            <w:vAlign w:val="bottom"/>
          </w:tcPr>
          <w:p w:rsidR="00EA0B10" w:rsidRPr="00973266" w:rsidRDefault="00EA0B10" w:rsidP="00973266">
            <w:pPr>
              <w:jc w:val="center"/>
              <w:rPr>
                <w:rFonts w:cs="Calibri"/>
                <w:color w:val="000000"/>
                <w:sz w:val="18"/>
                <w:szCs w:val="18"/>
              </w:rPr>
            </w:pPr>
            <w:r w:rsidRPr="00973266">
              <w:rPr>
                <w:rFonts w:cs="Calibri"/>
                <w:color w:val="000000"/>
                <w:sz w:val="18"/>
                <w:szCs w:val="18"/>
              </w:rPr>
              <w:t>50%</w:t>
            </w:r>
          </w:p>
        </w:tc>
        <w:tc>
          <w:tcPr>
            <w:tcW w:w="1237" w:type="dxa"/>
            <w:vAlign w:val="bottom"/>
          </w:tcPr>
          <w:p w:rsidR="00EA0B10" w:rsidRPr="00973266" w:rsidRDefault="00EA0B10" w:rsidP="00973266">
            <w:pPr>
              <w:rPr>
                <w:rFonts w:cs="Calibri"/>
                <w:color w:val="000000"/>
                <w:sz w:val="18"/>
                <w:szCs w:val="18"/>
              </w:rPr>
            </w:pPr>
          </w:p>
        </w:tc>
        <w:tc>
          <w:tcPr>
            <w:tcW w:w="1080" w:type="dxa"/>
            <w:vAlign w:val="bottom"/>
          </w:tcPr>
          <w:p w:rsidR="00EA0B10" w:rsidRPr="00973266" w:rsidRDefault="00EA0B10" w:rsidP="00973266">
            <w:pPr>
              <w:rPr>
                <w:rFonts w:cs="Calibri"/>
                <w:color w:val="000000"/>
                <w:sz w:val="18"/>
                <w:szCs w:val="18"/>
              </w:rPr>
            </w:pPr>
          </w:p>
        </w:tc>
        <w:tc>
          <w:tcPr>
            <w:tcW w:w="1440" w:type="dxa"/>
            <w:vAlign w:val="bottom"/>
          </w:tcPr>
          <w:p w:rsidR="00EA0B10" w:rsidRPr="00973266" w:rsidRDefault="00EA0B10" w:rsidP="00973266">
            <w:pPr>
              <w:rPr>
                <w:rFonts w:cs="Calibri"/>
                <w:color w:val="000000"/>
                <w:sz w:val="18"/>
                <w:szCs w:val="18"/>
              </w:rPr>
            </w:pPr>
          </w:p>
        </w:tc>
        <w:tc>
          <w:tcPr>
            <w:tcW w:w="1260" w:type="dxa"/>
            <w:vAlign w:val="bottom"/>
          </w:tcPr>
          <w:p w:rsidR="00EA0B10" w:rsidRPr="00973266" w:rsidRDefault="00EA0B10" w:rsidP="00973266">
            <w:pPr>
              <w:rPr>
                <w:rFonts w:cs="Calibri"/>
                <w:color w:val="000000"/>
                <w:sz w:val="18"/>
                <w:szCs w:val="18"/>
              </w:rPr>
            </w:pPr>
          </w:p>
        </w:tc>
        <w:tc>
          <w:tcPr>
            <w:tcW w:w="1800" w:type="dxa"/>
            <w:vAlign w:val="bottom"/>
          </w:tcPr>
          <w:p w:rsidR="00EA0B10" w:rsidRPr="00973266" w:rsidRDefault="00EA0B10" w:rsidP="00973266">
            <w:pPr>
              <w:rPr>
                <w:rFonts w:cs="Calibri"/>
                <w:color w:val="000000"/>
                <w:sz w:val="18"/>
                <w:szCs w:val="18"/>
              </w:rPr>
            </w:pPr>
          </w:p>
        </w:tc>
        <w:tc>
          <w:tcPr>
            <w:tcW w:w="1440" w:type="dxa"/>
            <w:vAlign w:val="bottom"/>
          </w:tcPr>
          <w:p w:rsidR="00EA0B10" w:rsidRPr="00973266" w:rsidRDefault="00EA0B10" w:rsidP="00973266">
            <w:pPr>
              <w:rPr>
                <w:rFonts w:cs="Calibri"/>
                <w:color w:val="000000"/>
                <w:sz w:val="18"/>
                <w:szCs w:val="18"/>
              </w:rPr>
            </w:pPr>
          </w:p>
        </w:tc>
      </w:tr>
    </w:tbl>
    <w:p w:rsidR="00EA0B10" w:rsidRDefault="00EA0B10" w:rsidP="00B3377E">
      <w:pPr>
        <w:jc w:val="both"/>
        <w:rPr>
          <w:highlight w:val="yellow"/>
        </w:rPr>
      </w:pPr>
    </w:p>
    <w:p w:rsidR="00EA0B10" w:rsidRPr="00676E8F" w:rsidRDefault="00EA0B10" w:rsidP="006967AF">
      <w:pPr>
        <w:jc w:val="both"/>
        <w:rPr>
          <w:b/>
        </w:rPr>
      </w:pPr>
      <w:r>
        <w:rPr>
          <w:b/>
        </w:rPr>
        <w:t>Tabla II.</w:t>
      </w:r>
      <w:r w:rsidRPr="00676E8F">
        <w:rPr>
          <w:b/>
        </w:rPr>
        <w:t xml:space="preserve">- </w:t>
      </w:r>
      <w:r>
        <w:rPr>
          <w:b/>
        </w:rPr>
        <w:t>Trabajadores de p</w:t>
      </w:r>
      <w:r w:rsidRPr="00676E8F">
        <w:rPr>
          <w:b/>
        </w:rPr>
        <w:t xml:space="preserve">lantilla con reducción de jornada de un </w:t>
      </w:r>
      <w:r>
        <w:rPr>
          <w:b/>
        </w:rPr>
        <w:t>50</w:t>
      </w:r>
      <w:r w:rsidRPr="00676E8F">
        <w:rPr>
          <w:b/>
        </w:rPr>
        <w:t>%</w:t>
      </w:r>
      <w:r>
        <w:rPr>
          <w:b/>
        </w:rPr>
        <w:t>.</w:t>
      </w:r>
    </w:p>
    <w:tbl>
      <w:tblPr>
        <w:tblpPr w:leftFromText="141" w:rightFromText="141" w:vertAnchor="text" w:horzAnchor="margin" w:tblpX="87" w:tblpY="13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237"/>
        <w:gridCol w:w="1080"/>
        <w:gridCol w:w="1440"/>
        <w:gridCol w:w="1260"/>
        <w:gridCol w:w="1800"/>
        <w:gridCol w:w="1440"/>
      </w:tblGrid>
      <w:tr w:rsidR="00EA0B10" w:rsidRPr="005B063B" w:rsidTr="006C646A">
        <w:tc>
          <w:tcPr>
            <w:tcW w:w="671" w:type="dxa"/>
            <w:vAlign w:val="bottom"/>
          </w:tcPr>
          <w:p w:rsidR="00EA0B10" w:rsidRPr="00973266" w:rsidRDefault="00EA0B10" w:rsidP="006C646A">
            <w:pPr>
              <w:jc w:val="center"/>
              <w:rPr>
                <w:rFonts w:cs="Calibri"/>
                <w:b/>
                <w:bCs/>
                <w:caps/>
                <w:color w:val="000000"/>
                <w:sz w:val="18"/>
                <w:szCs w:val="18"/>
                <w:lang w:eastAsia="es-ES"/>
              </w:rPr>
            </w:pPr>
            <w:r w:rsidRPr="00973266">
              <w:rPr>
                <w:rFonts w:cs="Calibri"/>
                <w:b/>
                <w:bCs/>
                <w:caps/>
                <w:color w:val="000000"/>
                <w:sz w:val="18"/>
                <w:szCs w:val="18"/>
              </w:rPr>
              <w:t>% RED</w:t>
            </w:r>
          </w:p>
        </w:tc>
        <w:tc>
          <w:tcPr>
            <w:tcW w:w="1237"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Primer Apellido</w:t>
            </w:r>
          </w:p>
        </w:tc>
        <w:tc>
          <w:tcPr>
            <w:tcW w:w="108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Segundo Apellido</w:t>
            </w:r>
          </w:p>
        </w:tc>
        <w:tc>
          <w:tcPr>
            <w:tcW w:w="144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Nombre</w:t>
            </w:r>
          </w:p>
        </w:tc>
        <w:tc>
          <w:tcPr>
            <w:tcW w:w="126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DNI/NIF</w:t>
            </w:r>
          </w:p>
        </w:tc>
        <w:tc>
          <w:tcPr>
            <w:tcW w:w="180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Nº Afiliación Seg. Social</w:t>
            </w:r>
          </w:p>
        </w:tc>
        <w:tc>
          <w:tcPr>
            <w:tcW w:w="144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Grupo Profesional</w:t>
            </w:r>
          </w:p>
        </w:tc>
      </w:tr>
      <w:tr w:rsidR="00EA0B10" w:rsidTr="006C646A">
        <w:tc>
          <w:tcPr>
            <w:tcW w:w="671" w:type="dxa"/>
            <w:vAlign w:val="bottom"/>
          </w:tcPr>
          <w:p w:rsidR="00EA0B10" w:rsidRPr="00973266" w:rsidRDefault="00EA0B10" w:rsidP="006C646A">
            <w:pPr>
              <w:jc w:val="center"/>
              <w:rPr>
                <w:rFonts w:cs="Calibri"/>
                <w:color w:val="000000"/>
                <w:sz w:val="18"/>
                <w:szCs w:val="18"/>
              </w:rPr>
            </w:pPr>
            <w:r w:rsidRPr="00973266">
              <w:rPr>
                <w:rFonts w:cs="Calibri"/>
                <w:color w:val="000000"/>
                <w:sz w:val="18"/>
                <w:szCs w:val="18"/>
              </w:rPr>
              <w:t>50%</w:t>
            </w:r>
          </w:p>
        </w:tc>
        <w:tc>
          <w:tcPr>
            <w:tcW w:w="1237" w:type="dxa"/>
            <w:vAlign w:val="bottom"/>
          </w:tcPr>
          <w:p w:rsidR="00EA0B10" w:rsidRPr="00973266" w:rsidRDefault="00EA0B10" w:rsidP="006C646A">
            <w:pPr>
              <w:rPr>
                <w:rFonts w:cs="Calibri"/>
                <w:color w:val="000000"/>
                <w:sz w:val="18"/>
                <w:szCs w:val="18"/>
              </w:rPr>
            </w:pPr>
          </w:p>
        </w:tc>
        <w:tc>
          <w:tcPr>
            <w:tcW w:w="1080" w:type="dxa"/>
            <w:vAlign w:val="bottom"/>
          </w:tcPr>
          <w:p w:rsidR="00EA0B10" w:rsidRPr="00973266" w:rsidRDefault="00EA0B10" w:rsidP="006C646A">
            <w:pPr>
              <w:rPr>
                <w:rFonts w:cs="Calibri"/>
                <w:color w:val="000000"/>
                <w:sz w:val="18"/>
                <w:szCs w:val="18"/>
              </w:rPr>
            </w:pPr>
          </w:p>
        </w:tc>
        <w:tc>
          <w:tcPr>
            <w:tcW w:w="1440" w:type="dxa"/>
            <w:vAlign w:val="bottom"/>
          </w:tcPr>
          <w:p w:rsidR="00EA0B10" w:rsidRPr="00973266" w:rsidRDefault="00EA0B10" w:rsidP="006C646A">
            <w:pPr>
              <w:rPr>
                <w:rFonts w:cs="Calibri"/>
                <w:color w:val="000000"/>
                <w:sz w:val="18"/>
                <w:szCs w:val="18"/>
              </w:rPr>
            </w:pPr>
          </w:p>
        </w:tc>
        <w:tc>
          <w:tcPr>
            <w:tcW w:w="1260" w:type="dxa"/>
            <w:vAlign w:val="bottom"/>
          </w:tcPr>
          <w:p w:rsidR="00EA0B10" w:rsidRPr="00973266" w:rsidRDefault="00EA0B10" w:rsidP="006C646A">
            <w:pPr>
              <w:rPr>
                <w:rFonts w:cs="Calibri"/>
                <w:color w:val="000000"/>
                <w:sz w:val="18"/>
                <w:szCs w:val="18"/>
              </w:rPr>
            </w:pPr>
          </w:p>
        </w:tc>
        <w:tc>
          <w:tcPr>
            <w:tcW w:w="1800" w:type="dxa"/>
            <w:vAlign w:val="bottom"/>
          </w:tcPr>
          <w:p w:rsidR="00EA0B10" w:rsidRPr="00973266" w:rsidRDefault="00EA0B10" w:rsidP="006C646A">
            <w:pPr>
              <w:rPr>
                <w:rFonts w:cs="Calibri"/>
                <w:color w:val="000000"/>
                <w:sz w:val="18"/>
                <w:szCs w:val="18"/>
              </w:rPr>
            </w:pPr>
          </w:p>
        </w:tc>
        <w:tc>
          <w:tcPr>
            <w:tcW w:w="1440" w:type="dxa"/>
            <w:vAlign w:val="bottom"/>
          </w:tcPr>
          <w:p w:rsidR="00EA0B10" w:rsidRPr="00973266" w:rsidRDefault="00EA0B10" w:rsidP="006C646A">
            <w:pPr>
              <w:rPr>
                <w:rFonts w:cs="Calibri"/>
                <w:color w:val="000000"/>
                <w:sz w:val="18"/>
                <w:szCs w:val="18"/>
              </w:rPr>
            </w:pPr>
          </w:p>
        </w:tc>
      </w:tr>
    </w:tbl>
    <w:p w:rsidR="00EA0B10" w:rsidRDefault="00EA0B10" w:rsidP="006967AF">
      <w:pPr>
        <w:jc w:val="both"/>
        <w:rPr>
          <w:highlight w:val="yellow"/>
        </w:rPr>
      </w:pPr>
    </w:p>
    <w:p w:rsidR="00EA0B10" w:rsidRPr="00676E8F" w:rsidRDefault="00EA0B10" w:rsidP="006967AF">
      <w:pPr>
        <w:jc w:val="both"/>
        <w:rPr>
          <w:b/>
        </w:rPr>
      </w:pPr>
      <w:r>
        <w:rPr>
          <w:b/>
        </w:rPr>
        <w:t>Tabla III.</w:t>
      </w:r>
      <w:r w:rsidRPr="00676E8F">
        <w:rPr>
          <w:b/>
        </w:rPr>
        <w:t xml:space="preserve">- </w:t>
      </w:r>
      <w:r>
        <w:rPr>
          <w:b/>
        </w:rPr>
        <w:t>Trabajadores de p</w:t>
      </w:r>
      <w:r w:rsidRPr="00676E8F">
        <w:rPr>
          <w:b/>
        </w:rPr>
        <w:t xml:space="preserve">lantilla con reducción de jornada de un </w:t>
      </w:r>
      <w:r>
        <w:rPr>
          <w:b/>
        </w:rPr>
        <w:t>75</w:t>
      </w:r>
      <w:r w:rsidRPr="00676E8F">
        <w:rPr>
          <w:b/>
        </w:rPr>
        <w:t>%</w:t>
      </w:r>
      <w:r>
        <w:rPr>
          <w:b/>
        </w:rPr>
        <w:t>.</w:t>
      </w:r>
    </w:p>
    <w:tbl>
      <w:tblPr>
        <w:tblpPr w:leftFromText="141" w:rightFromText="141" w:vertAnchor="text" w:horzAnchor="margin" w:tblpX="87" w:tblpY="13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1237"/>
        <w:gridCol w:w="1080"/>
        <w:gridCol w:w="1440"/>
        <w:gridCol w:w="1260"/>
        <w:gridCol w:w="1800"/>
        <w:gridCol w:w="1440"/>
      </w:tblGrid>
      <w:tr w:rsidR="00EA0B10" w:rsidRPr="005B063B" w:rsidTr="006C646A">
        <w:tc>
          <w:tcPr>
            <w:tcW w:w="671" w:type="dxa"/>
            <w:vAlign w:val="bottom"/>
          </w:tcPr>
          <w:p w:rsidR="00EA0B10" w:rsidRPr="00973266" w:rsidRDefault="00EA0B10" w:rsidP="006C646A">
            <w:pPr>
              <w:jc w:val="center"/>
              <w:rPr>
                <w:rFonts w:cs="Calibri"/>
                <w:b/>
                <w:bCs/>
                <w:caps/>
                <w:color w:val="000000"/>
                <w:sz w:val="18"/>
                <w:szCs w:val="18"/>
                <w:lang w:eastAsia="es-ES"/>
              </w:rPr>
            </w:pPr>
            <w:r w:rsidRPr="00973266">
              <w:rPr>
                <w:rFonts w:cs="Calibri"/>
                <w:b/>
                <w:bCs/>
                <w:caps/>
                <w:color w:val="000000"/>
                <w:sz w:val="18"/>
                <w:szCs w:val="18"/>
              </w:rPr>
              <w:t>% RED</w:t>
            </w:r>
          </w:p>
        </w:tc>
        <w:tc>
          <w:tcPr>
            <w:tcW w:w="1237"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Primer Apellido</w:t>
            </w:r>
          </w:p>
        </w:tc>
        <w:tc>
          <w:tcPr>
            <w:tcW w:w="108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Segundo Apellido</w:t>
            </w:r>
          </w:p>
        </w:tc>
        <w:tc>
          <w:tcPr>
            <w:tcW w:w="144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Nombre</w:t>
            </w:r>
          </w:p>
        </w:tc>
        <w:tc>
          <w:tcPr>
            <w:tcW w:w="126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DNI/NIF</w:t>
            </w:r>
          </w:p>
        </w:tc>
        <w:tc>
          <w:tcPr>
            <w:tcW w:w="180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Nº Afiliación Seg. Social</w:t>
            </w:r>
          </w:p>
        </w:tc>
        <w:tc>
          <w:tcPr>
            <w:tcW w:w="1440" w:type="dxa"/>
            <w:vAlign w:val="bottom"/>
          </w:tcPr>
          <w:p w:rsidR="00EA0B10" w:rsidRPr="00973266" w:rsidRDefault="00EA0B10" w:rsidP="006C646A">
            <w:pPr>
              <w:jc w:val="center"/>
              <w:rPr>
                <w:rFonts w:cs="Calibri"/>
                <w:b/>
                <w:bCs/>
                <w:caps/>
                <w:color w:val="000000"/>
                <w:sz w:val="18"/>
                <w:szCs w:val="18"/>
              </w:rPr>
            </w:pPr>
            <w:r w:rsidRPr="00973266">
              <w:rPr>
                <w:rFonts w:cs="Calibri"/>
                <w:b/>
                <w:bCs/>
                <w:caps/>
                <w:color w:val="000000"/>
                <w:sz w:val="18"/>
                <w:szCs w:val="18"/>
              </w:rPr>
              <w:t>Grupo Profesional</w:t>
            </w:r>
          </w:p>
        </w:tc>
      </w:tr>
      <w:tr w:rsidR="00EA0B10" w:rsidTr="006C646A">
        <w:tc>
          <w:tcPr>
            <w:tcW w:w="671" w:type="dxa"/>
            <w:vAlign w:val="bottom"/>
          </w:tcPr>
          <w:p w:rsidR="00EA0B10" w:rsidRPr="00973266" w:rsidRDefault="00EA0B10" w:rsidP="006C646A">
            <w:pPr>
              <w:jc w:val="center"/>
              <w:rPr>
                <w:rFonts w:cs="Calibri"/>
                <w:color w:val="000000"/>
                <w:sz w:val="18"/>
                <w:szCs w:val="18"/>
              </w:rPr>
            </w:pPr>
            <w:r w:rsidRPr="00973266">
              <w:rPr>
                <w:rFonts w:cs="Calibri"/>
                <w:color w:val="000000"/>
                <w:sz w:val="18"/>
                <w:szCs w:val="18"/>
              </w:rPr>
              <w:t>50%</w:t>
            </w:r>
          </w:p>
        </w:tc>
        <w:tc>
          <w:tcPr>
            <w:tcW w:w="1237" w:type="dxa"/>
            <w:vAlign w:val="bottom"/>
          </w:tcPr>
          <w:p w:rsidR="00EA0B10" w:rsidRPr="00973266" w:rsidRDefault="00EA0B10" w:rsidP="006C646A">
            <w:pPr>
              <w:rPr>
                <w:rFonts w:cs="Calibri"/>
                <w:color w:val="000000"/>
                <w:sz w:val="18"/>
                <w:szCs w:val="18"/>
              </w:rPr>
            </w:pPr>
          </w:p>
        </w:tc>
        <w:tc>
          <w:tcPr>
            <w:tcW w:w="1080" w:type="dxa"/>
            <w:vAlign w:val="bottom"/>
          </w:tcPr>
          <w:p w:rsidR="00EA0B10" w:rsidRPr="00973266" w:rsidRDefault="00EA0B10" w:rsidP="006C646A">
            <w:pPr>
              <w:rPr>
                <w:rFonts w:cs="Calibri"/>
                <w:color w:val="000000"/>
                <w:sz w:val="18"/>
                <w:szCs w:val="18"/>
              </w:rPr>
            </w:pPr>
          </w:p>
        </w:tc>
        <w:tc>
          <w:tcPr>
            <w:tcW w:w="1440" w:type="dxa"/>
            <w:vAlign w:val="bottom"/>
          </w:tcPr>
          <w:p w:rsidR="00EA0B10" w:rsidRPr="00973266" w:rsidRDefault="00EA0B10" w:rsidP="006C646A">
            <w:pPr>
              <w:rPr>
                <w:rFonts w:cs="Calibri"/>
                <w:color w:val="000000"/>
                <w:sz w:val="18"/>
                <w:szCs w:val="18"/>
              </w:rPr>
            </w:pPr>
          </w:p>
        </w:tc>
        <w:tc>
          <w:tcPr>
            <w:tcW w:w="1260" w:type="dxa"/>
            <w:vAlign w:val="bottom"/>
          </w:tcPr>
          <w:p w:rsidR="00EA0B10" w:rsidRPr="00973266" w:rsidRDefault="00EA0B10" w:rsidP="006C646A">
            <w:pPr>
              <w:rPr>
                <w:rFonts w:cs="Calibri"/>
                <w:color w:val="000000"/>
                <w:sz w:val="18"/>
                <w:szCs w:val="18"/>
              </w:rPr>
            </w:pPr>
          </w:p>
        </w:tc>
        <w:tc>
          <w:tcPr>
            <w:tcW w:w="1800" w:type="dxa"/>
            <w:vAlign w:val="bottom"/>
          </w:tcPr>
          <w:p w:rsidR="00EA0B10" w:rsidRPr="00973266" w:rsidRDefault="00EA0B10" w:rsidP="006C646A">
            <w:pPr>
              <w:rPr>
                <w:rFonts w:cs="Calibri"/>
                <w:color w:val="000000"/>
                <w:sz w:val="18"/>
                <w:szCs w:val="18"/>
              </w:rPr>
            </w:pPr>
          </w:p>
        </w:tc>
        <w:tc>
          <w:tcPr>
            <w:tcW w:w="1440" w:type="dxa"/>
            <w:vAlign w:val="bottom"/>
          </w:tcPr>
          <w:p w:rsidR="00EA0B10" w:rsidRPr="00973266" w:rsidRDefault="00EA0B10" w:rsidP="006C646A">
            <w:pPr>
              <w:rPr>
                <w:rFonts w:cs="Calibri"/>
                <w:color w:val="000000"/>
                <w:sz w:val="18"/>
                <w:szCs w:val="18"/>
              </w:rPr>
            </w:pPr>
          </w:p>
        </w:tc>
      </w:tr>
    </w:tbl>
    <w:p w:rsidR="00EA0B10" w:rsidRDefault="00EA0B10" w:rsidP="006967AF">
      <w:pPr>
        <w:jc w:val="both"/>
        <w:rPr>
          <w:highlight w:val="yellow"/>
        </w:rPr>
      </w:pPr>
    </w:p>
    <w:p w:rsidR="00EA0B10" w:rsidRPr="00676E8F" w:rsidRDefault="00EA0B10" w:rsidP="00B3377E">
      <w:pPr>
        <w:jc w:val="both"/>
        <w:rPr>
          <w:b/>
        </w:rPr>
      </w:pPr>
      <w:r>
        <w:rPr>
          <w:b/>
        </w:rPr>
        <w:t>Tabla IV</w:t>
      </w:r>
      <w:r w:rsidRPr="00676E8F">
        <w:rPr>
          <w:b/>
        </w:rPr>
        <w:t xml:space="preserve">.- </w:t>
      </w:r>
      <w:r>
        <w:rPr>
          <w:b/>
        </w:rPr>
        <w:t>Trabajadores de p</w:t>
      </w:r>
      <w:r w:rsidRPr="00676E8F">
        <w:rPr>
          <w:b/>
        </w:rPr>
        <w:t xml:space="preserve">lantilla </w:t>
      </w:r>
      <w:r>
        <w:rPr>
          <w:b/>
        </w:rPr>
        <w:t>para los que se solicita</w:t>
      </w:r>
      <w:r w:rsidRPr="00676E8F">
        <w:rPr>
          <w:b/>
        </w:rPr>
        <w:t xml:space="preserve"> suspensión </w:t>
      </w:r>
      <w:r>
        <w:rPr>
          <w:b/>
        </w:rPr>
        <w:t xml:space="preserve">temporal </w:t>
      </w:r>
      <w:r w:rsidRPr="00676E8F">
        <w:rPr>
          <w:b/>
        </w:rPr>
        <w:t>de empleo</w:t>
      </w:r>
      <w:r>
        <w:rPr>
          <w:b/>
        </w:rPr>
        <w: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60"/>
        <w:gridCol w:w="1080"/>
        <w:gridCol w:w="1620"/>
        <w:gridCol w:w="1080"/>
        <w:gridCol w:w="1620"/>
        <w:gridCol w:w="1440"/>
      </w:tblGrid>
      <w:tr w:rsidR="00EA0B10" w:rsidRPr="00973266">
        <w:tc>
          <w:tcPr>
            <w:tcW w:w="720" w:type="dxa"/>
            <w:vAlign w:val="bottom"/>
          </w:tcPr>
          <w:p w:rsidR="00EA0B10" w:rsidRPr="00973266" w:rsidRDefault="00EA0B10" w:rsidP="00526673">
            <w:pPr>
              <w:jc w:val="center"/>
              <w:rPr>
                <w:rFonts w:cs="Calibri"/>
                <w:b/>
                <w:bCs/>
                <w:caps/>
                <w:color w:val="000000"/>
                <w:sz w:val="18"/>
                <w:szCs w:val="18"/>
                <w:lang w:eastAsia="es-ES"/>
              </w:rPr>
            </w:pPr>
            <w:r w:rsidRPr="00973266">
              <w:rPr>
                <w:rFonts w:cs="Calibri"/>
                <w:b/>
                <w:bCs/>
                <w:caps/>
                <w:color w:val="000000"/>
                <w:sz w:val="18"/>
                <w:szCs w:val="18"/>
              </w:rPr>
              <w:t xml:space="preserve">% </w:t>
            </w:r>
            <w:r>
              <w:rPr>
                <w:rFonts w:cs="Calibri"/>
                <w:b/>
                <w:bCs/>
                <w:caps/>
                <w:color w:val="000000"/>
                <w:sz w:val="18"/>
                <w:szCs w:val="18"/>
              </w:rPr>
              <w:t>red</w:t>
            </w:r>
          </w:p>
        </w:tc>
        <w:tc>
          <w:tcPr>
            <w:tcW w:w="1260" w:type="dxa"/>
            <w:vAlign w:val="bottom"/>
          </w:tcPr>
          <w:p w:rsidR="00EA0B10" w:rsidRPr="00973266" w:rsidRDefault="00EA0B10" w:rsidP="00526673">
            <w:pPr>
              <w:jc w:val="center"/>
              <w:rPr>
                <w:rFonts w:cs="Calibri"/>
                <w:b/>
                <w:bCs/>
                <w:caps/>
                <w:color w:val="000000"/>
                <w:sz w:val="18"/>
                <w:szCs w:val="18"/>
              </w:rPr>
            </w:pPr>
            <w:r w:rsidRPr="00973266">
              <w:rPr>
                <w:rFonts w:cs="Calibri"/>
                <w:b/>
                <w:bCs/>
                <w:caps/>
                <w:color w:val="000000"/>
                <w:sz w:val="18"/>
                <w:szCs w:val="18"/>
              </w:rPr>
              <w:t>Primer Apellido</w:t>
            </w:r>
          </w:p>
        </w:tc>
        <w:tc>
          <w:tcPr>
            <w:tcW w:w="1080" w:type="dxa"/>
            <w:vAlign w:val="bottom"/>
          </w:tcPr>
          <w:p w:rsidR="00EA0B10" w:rsidRPr="00973266" w:rsidRDefault="00EA0B10" w:rsidP="00526673">
            <w:pPr>
              <w:jc w:val="center"/>
              <w:rPr>
                <w:rFonts w:cs="Calibri"/>
                <w:b/>
                <w:bCs/>
                <w:caps/>
                <w:color w:val="000000"/>
                <w:sz w:val="18"/>
                <w:szCs w:val="18"/>
              </w:rPr>
            </w:pPr>
            <w:r w:rsidRPr="00973266">
              <w:rPr>
                <w:rFonts w:cs="Calibri"/>
                <w:b/>
                <w:bCs/>
                <w:caps/>
                <w:color w:val="000000"/>
                <w:sz w:val="18"/>
                <w:szCs w:val="18"/>
              </w:rPr>
              <w:t>Segundo Apellido</w:t>
            </w:r>
          </w:p>
        </w:tc>
        <w:tc>
          <w:tcPr>
            <w:tcW w:w="1620" w:type="dxa"/>
            <w:vAlign w:val="bottom"/>
          </w:tcPr>
          <w:p w:rsidR="00EA0B10" w:rsidRPr="00973266" w:rsidRDefault="00EA0B10" w:rsidP="00526673">
            <w:pPr>
              <w:jc w:val="center"/>
              <w:rPr>
                <w:rFonts w:cs="Calibri"/>
                <w:b/>
                <w:bCs/>
                <w:caps/>
                <w:color w:val="000000"/>
                <w:sz w:val="18"/>
                <w:szCs w:val="18"/>
              </w:rPr>
            </w:pPr>
            <w:r w:rsidRPr="00973266">
              <w:rPr>
                <w:rFonts w:cs="Calibri"/>
                <w:b/>
                <w:bCs/>
                <w:caps/>
                <w:color w:val="000000"/>
                <w:sz w:val="18"/>
                <w:szCs w:val="18"/>
              </w:rPr>
              <w:t>Nombre</w:t>
            </w:r>
          </w:p>
        </w:tc>
        <w:tc>
          <w:tcPr>
            <w:tcW w:w="1080" w:type="dxa"/>
            <w:vAlign w:val="bottom"/>
          </w:tcPr>
          <w:p w:rsidR="00EA0B10" w:rsidRPr="00973266" w:rsidRDefault="00EA0B10" w:rsidP="00526673">
            <w:pPr>
              <w:jc w:val="center"/>
              <w:rPr>
                <w:rFonts w:cs="Calibri"/>
                <w:b/>
                <w:bCs/>
                <w:caps/>
                <w:color w:val="000000"/>
                <w:sz w:val="18"/>
                <w:szCs w:val="18"/>
              </w:rPr>
            </w:pPr>
            <w:r>
              <w:rPr>
                <w:rFonts w:cs="Calibri"/>
                <w:b/>
                <w:bCs/>
                <w:caps/>
                <w:color w:val="000000"/>
                <w:sz w:val="18"/>
                <w:szCs w:val="18"/>
              </w:rPr>
              <w:t>dni/nif</w:t>
            </w:r>
          </w:p>
        </w:tc>
        <w:tc>
          <w:tcPr>
            <w:tcW w:w="1620" w:type="dxa"/>
            <w:vAlign w:val="bottom"/>
          </w:tcPr>
          <w:p w:rsidR="00EA0B10" w:rsidRPr="00973266" w:rsidRDefault="00EA0B10" w:rsidP="00526673">
            <w:pPr>
              <w:jc w:val="center"/>
              <w:rPr>
                <w:rFonts w:cs="Calibri"/>
                <w:b/>
                <w:bCs/>
                <w:caps/>
                <w:color w:val="000000"/>
                <w:sz w:val="18"/>
                <w:szCs w:val="18"/>
              </w:rPr>
            </w:pPr>
            <w:r>
              <w:rPr>
                <w:rFonts w:cs="Calibri"/>
                <w:b/>
                <w:bCs/>
                <w:caps/>
                <w:color w:val="000000"/>
                <w:sz w:val="18"/>
                <w:szCs w:val="18"/>
              </w:rPr>
              <w:t xml:space="preserve"> nº </w:t>
            </w:r>
            <w:r w:rsidRPr="00973266">
              <w:rPr>
                <w:rFonts w:cs="Calibri"/>
                <w:b/>
                <w:bCs/>
                <w:caps/>
                <w:color w:val="000000"/>
                <w:sz w:val="18"/>
                <w:szCs w:val="18"/>
              </w:rPr>
              <w:t>Afiliación Seg. Social</w:t>
            </w:r>
          </w:p>
        </w:tc>
        <w:tc>
          <w:tcPr>
            <w:tcW w:w="1440" w:type="dxa"/>
            <w:vAlign w:val="bottom"/>
          </w:tcPr>
          <w:p w:rsidR="00EA0B10" w:rsidRPr="00973266" w:rsidRDefault="00EA0B10" w:rsidP="00526673">
            <w:pPr>
              <w:jc w:val="center"/>
              <w:rPr>
                <w:rFonts w:cs="Calibri"/>
                <w:b/>
                <w:bCs/>
                <w:caps/>
                <w:color w:val="000000"/>
                <w:sz w:val="18"/>
                <w:szCs w:val="18"/>
              </w:rPr>
            </w:pPr>
            <w:r w:rsidRPr="00973266">
              <w:rPr>
                <w:rFonts w:cs="Calibri"/>
                <w:b/>
                <w:bCs/>
                <w:caps/>
                <w:color w:val="000000"/>
                <w:sz w:val="18"/>
                <w:szCs w:val="18"/>
              </w:rPr>
              <w:t>Grupo Profesional</w:t>
            </w:r>
          </w:p>
        </w:tc>
      </w:tr>
      <w:tr w:rsidR="00EA0B10" w:rsidRPr="00973266">
        <w:tc>
          <w:tcPr>
            <w:tcW w:w="720" w:type="dxa"/>
            <w:vAlign w:val="bottom"/>
          </w:tcPr>
          <w:p w:rsidR="00EA0B10" w:rsidRPr="00973266" w:rsidRDefault="00EA0B10" w:rsidP="00526673">
            <w:pPr>
              <w:jc w:val="center"/>
              <w:rPr>
                <w:rFonts w:cs="Calibri"/>
                <w:color w:val="000000"/>
                <w:sz w:val="18"/>
                <w:szCs w:val="18"/>
              </w:rPr>
            </w:pPr>
            <w:r w:rsidRPr="00973266">
              <w:rPr>
                <w:rFonts w:cs="Calibri"/>
                <w:color w:val="000000"/>
                <w:sz w:val="18"/>
                <w:szCs w:val="18"/>
              </w:rPr>
              <w:t>100%</w:t>
            </w:r>
          </w:p>
        </w:tc>
        <w:tc>
          <w:tcPr>
            <w:tcW w:w="1260" w:type="dxa"/>
            <w:vAlign w:val="bottom"/>
          </w:tcPr>
          <w:p w:rsidR="00EA0B10" w:rsidRPr="00973266" w:rsidRDefault="00EA0B10" w:rsidP="00651E17">
            <w:pPr>
              <w:rPr>
                <w:rFonts w:cs="Calibri"/>
                <w:color w:val="000000"/>
                <w:sz w:val="18"/>
                <w:szCs w:val="18"/>
              </w:rPr>
            </w:pPr>
          </w:p>
        </w:tc>
        <w:tc>
          <w:tcPr>
            <w:tcW w:w="1080" w:type="dxa"/>
            <w:vAlign w:val="bottom"/>
          </w:tcPr>
          <w:p w:rsidR="00EA0B10" w:rsidRPr="00973266" w:rsidRDefault="00EA0B10" w:rsidP="00651E17">
            <w:pPr>
              <w:rPr>
                <w:rFonts w:cs="Calibri"/>
                <w:color w:val="000000"/>
                <w:sz w:val="18"/>
                <w:szCs w:val="18"/>
              </w:rPr>
            </w:pPr>
          </w:p>
        </w:tc>
        <w:tc>
          <w:tcPr>
            <w:tcW w:w="1620" w:type="dxa"/>
            <w:vAlign w:val="bottom"/>
          </w:tcPr>
          <w:p w:rsidR="00EA0B10" w:rsidRPr="00973266" w:rsidRDefault="00EA0B10" w:rsidP="00651E17">
            <w:pPr>
              <w:rPr>
                <w:rFonts w:cs="Calibri"/>
                <w:color w:val="000000"/>
                <w:sz w:val="18"/>
                <w:szCs w:val="18"/>
              </w:rPr>
            </w:pPr>
          </w:p>
        </w:tc>
        <w:tc>
          <w:tcPr>
            <w:tcW w:w="1080" w:type="dxa"/>
            <w:vAlign w:val="bottom"/>
          </w:tcPr>
          <w:p w:rsidR="00EA0B10" w:rsidRPr="00973266" w:rsidRDefault="00EA0B10" w:rsidP="00651E17">
            <w:pPr>
              <w:rPr>
                <w:rFonts w:cs="Calibri"/>
                <w:color w:val="000000"/>
                <w:sz w:val="18"/>
                <w:szCs w:val="18"/>
              </w:rPr>
            </w:pPr>
          </w:p>
        </w:tc>
        <w:tc>
          <w:tcPr>
            <w:tcW w:w="1620" w:type="dxa"/>
            <w:vAlign w:val="bottom"/>
          </w:tcPr>
          <w:p w:rsidR="00EA0B10" w:rsidRPr="00973266" w:rsidRDefault="00EA0B10" w:rsidP="00651E17">
            <w:pPr>
              <w:rPr>
                <w:rFonts w:cs="Calibri"/>
                <w:color w:val="000000"/>
                <w:sz w:val="18"/>
                <w:szCs w:val="18"/>
              </w:rPr>
            </w:pPr>
          </w:p>
        </w:tc>
        <w:tc>
          <w:tcPr>
            <w:tcW w:w="1440" w:type="dxa"/>
            <w:vAlign w:val="bottom"/>
          </w:tcPr>
          <w:p w:rsidR="00EA0B10" w:rsidRPr="00973266" w:rsidRDefault="00EA0B10" w:rsidP="00651E17">
            <w:pPr>
              <w:rPr>
                <w:rFonts w:cs="Calibri"/>
                <w:color w:val="000000"/>
                <w:sz w:val="18"/>
                <w:szCs w:val="18"/>
              </w:rPr>
            </w:pPr>
          </w:p>
        </w:tc>
      </w:tr>
    </w:tbl>
    <w:p w:rsidR="00EA0B10" w:rsidRDefault="00EA0B10" w:rsidP="00B3377E">
      <w:pPr>
        <w:jc w:val="both"/>
        <w:rPr>
          <w:b/>
        </w:rPr>
      </w:pPr>
    </w:p>
    <w:p w:rsidR="00EA0B10" w:rsidRDefault="00EA0B10" w:rsidP="00B3377E">
      <w:pPr>
        <w:jc w:val="both"/>
        <w:rPr>
          <w:b/>
        </w:rPr>
      </w:pPr>
      <w:r w:rsidRPr="00DC6093">
        <w:rPr>
          <w:b/>
          <w:highlight w:val="yellow"/>
        </w:rPr>
        <w:t xml:space="preserve">Añadir </w:t>
      </w:r>
      <w:r>
        <w:rPr>
          <w:b/>
          <w:highlight w:val="yellow"/>
        </w:rPr>
        <w:t>más filas en cada tabla si es preciso y eliminar las</w:t>
      </w:r>
      <w:r w:rsidRPr="00DC6093">
        <w:rPr>
          <w:b/>
          <w:highlight w:val="yellow"/>
        </w:rPr>
        <w:t xml:space="preserve"> tablas </w:t>
      </w:r>
      <w:r>
        <w:rPr>
          <w:b/>
          <w:highlight w:val="yellow"/>
        </w:rPr>
        <w:t>no necesarias</w:t>
      </w:r>
      <w:r>
        <w:rPr>
          <w:b/>
        </w:rPr>
        <w:t xml:space="preserve">. </w:t>
      </w:r>
    </w:p>
    <w:p w:rsidR="00EA0B10" w:rsidRPr="00D25D04" w:rsidRDefault="00EA0B10" w:rsidP="00B3377E">
      <w:pPr>
        <w:jc w:val="both"/>
        <w:rPr>
          <w:b/>
        </w:rPr>
      </w:pPr>
      <w:r>
        <w:rPr>
          <w:b/>
        </w:rPr>
        <w:br w:type="page"/>
      </w:r>
      <w:r w:rsidRPr="00D25D04">
        <w:rPr>
          <w:b/>
        </w:rPr>
        <w:t>VII.- CONCLUSIONES</w:t>
      </w:r>
    </w:p>
    <w:p w:rsidR="00EA0B10" w:rsidRDefault="00EA0B10" w:rsidP="00CA7840">
      <w:pPr>
        <w:jc w:val="both"/>
      </w:pPr>
      <w:r w:rsidRPr="00724C18">
        <w:t xml:space="preserve">De lo expuesto en la presente </w:t>
      </w:r>
      <w:r>
        <w:t>m</w:t>
      </w:r>
      <w:r w:rsidRPr="00724C18">
        <w:t xml:space="preserve">emoria cabe concluir que las medidas de </w:t>
      </w:r>
      <w:r>
        <w:t>r</w:t>
      </w:r>
      <w:r w:rsidRPr="00724C18">
        <w:t xml:space="preserve">egulación de </w:t>
      </w:r>
      <w:r>
        <w:t>e</w:t>
      </w:r>
      <w:r w:rsidRPr="00724C18">
        <w:t xml:space="preserve">mpleo propuestas resultan imprescindibles a fin de lograr </w:t>
      </w:r>
      <w:r>
        <w:t xml:space="preserve">mantener la </w:t>
      </w:r>
      <w:r w:rsidRPr="00724C18">
        <w:t>actividad</w:t>
      </w:r>
      <w:r>
        <w:t xml:space="preserve"> de servicios mínimos</w:t>
      </w:r>
      <w:r w:rsidRPr="00724C18">
        <w:t xml:space="preserve"> (atención de urgencias) y poder restable</w:t>
      </w:r>
      <w:r>
        <w:t>cer</w:t>
      </w:r>
      <w:r w:rsidRPr="00724C18">
        <w:t xml:space="preserve"> la </w:t>
      </w:r>
      <w:r>
        <w:t xml:space="preserve">viabilidad de la empresa y la normal actividad pasado este periodo. </w:t>
      </w:r>
    </w:p>
    <w:p w:rsidR="00EA0B10" w:rsidRDefault="00EA0B10" w:rsidP="00CA7840">
      <w:pPr>
        <w:jc w:val="both"/>
      </w:pPr>
      <w:r w:rsidRPr="00973266">
        <w:t xml:space="preserve">Por </w:t>
      </w:r>
      <w:r>
        <w:t xml:space="preserve">todo </w:t>
      </w:r>
      <w:r w:rsidRPr="00973266">
        <w:t xml:space="preserve">lo anterior se solicita de esta Dirección General de Trabajo la tramitación y la aceptación si procede </w:t>
      </w:r>
      <w:r>
        <w:t>del expediente de regulación temporal de empleo en los términos indicados y para los trabajadores referidos, con fecha de inicio                              y terminación cuando quede sin efecto el actual Estado de Alarma por lo que, el abajo firmante, como administrador de la entidad                                                       SLP:</w:t>
      </w:r>
    </w:p>
    <w:p w:rsidR="00EA0B10" w:rsidRPr="00DD3343" w:rsidRDefault="00EA0B10" w:rsidP="00CA7840">
      <w:pPr>
        <w:pStyle w:val="NormalWeb"/>
        <w:shd w:val="clear" w:color="auto" w:fill="FFFFFF"/>
        <w:spacing w:before="0" w:beforeAutospacing="0" w:after="138" w:afterAutospacing="0"/>
        <w:rPr>
          <w:rFonts w:ascii="Calibri" w:hAnsi="Calibri"/>
          <w:b/>
          <w:bCs/>
          <w:sz w:val="22"/>
          <w:szCs w:val="22"/>
        </w:rPr>
      </w:pPr>
      <w:r w:rsidRPr="00DD3343">
        <w:rPr>
          <w:rFonts w:ascii="Calibri" w:hAnsi="Calibri"/>
          <w:b/>
          <w:bCs/>
          <w:sz w:val="22"/>
          <w:szCs w:val="22"/>
        </w:rPr>
        <w:t>MANIFIESTA</w:t>
      </w:r>
    </w:p>
    <w:p w:rsidR="00EA0B10" w:rsidRPr="00E4613A" w:rsidRDefault="00EA0B10" w:rsidP="00CA7840">
      <w:pPr>
        <w:pStyle w:val="NormalWeb"/>
        <w:shd w:val="clear" w:color="auto" w:fill="FFFFFF"/>
        <w:spacing w:before="0" w:beforeAutospacing="0" w:after="138" w:afterAutospacing="0"/>
        <w:jc w:val="both"/>
        <w:rPr>
          <w:rFonts w:ascii="Calibri" w:hAnsi="Calibri"/>
          <w:sz w:val="22"/>
          <w:szCs w:val="22"/>
        </w:rPr>
      </w:pPr>
      <w:r w:rsidRPr="00E4613A">
        <w:rPr>
          <w:rFonts w:ascii="Calibri" w:hAnsi="Calibri"/>
          <w:sz w:val="22"/>
          <w:szCs w:val="22"/>
        </w:rPr>
        <w:t>1.- Que, de conformidad con lo dispuesto en el </w:t>
      </w:r>
      <w:hyperlink r:id="rId7" w:tgtFrame="_blank" w:history="1">
        <w:r w:rsidRPr="00E4613A">
          <w:rPr>
            <w:rStyle w:val="Hyperlink"/>
            <w:rFonts w:ascii="Calibri" w:hAnsi="Calibri"/>
            <w:b/>
            <w:bCs/>
            <w:color w:val="auto"/>
            <w:sz w:val="22"/>
            <w:szCs w:val="22"/>
          </w:rPr>
          <w:t>Real Decreto Legislativo 2/2015, de 23 de octubre</w:t>
        </w:r>
      </w:hyperlink>
      <w:r w:rsidRPr="00E4613A">
        <w:rPr>
          <w:rFonts w:ascii="Calibri" w:hAnsi="Calibri"/>
          <w:sz w:val="22"/>
          <w:szCs w:val="22"/>
        </w:rPr>
        <w:t xml:space="preserve">, por el que se aprueba el </w:t>
      </w:r>
      <w:r w:rsidRPr="00E4613A">
        <w:rPr>
          <w:rFonts w:ascii="Calibri" w:hAnsi="Calibri"/>
          <w:b/>
          <w:bCs/>
          <w:sz w:val="22"/>
          <w:szCs w:val="22"/>
        </w:rPr>
        <w:t>Texto Refundido de la Ley del </w:t>
      </w:r>
      <w:hyperlink r:id="rId8" w:tgtFrame="_blank" w:history="1">
        <w:r w:rsidRPr="00E4613A">
          <w:rPr>
            <w:rStyle w:val="Hyperlink"/>
            <w:rFonts w:ascii="Calibri" w:hAnsi="Calibri"/>
            <w:b/>
            <w:bCs/>
            <w:color w:val="auto"/>
            <w:sz w:val="22"/>
            <w:szCs w:val="22"/>
          </w:rPr>
          <w:t>Estatuto de los trabajadores</w:t>
        </w:r>
      </w:hyperlink>
      <w:r w:rsidRPr="00E4613A">
        <w:rPr>
          <w:rFonts w:ascii="Calibri" w:hAnsi="Calibri"/>
          <w:b/>
          <w:bCs/>
          <w:sz w:val="22"/>
          <w:szCs w:val="22"/>
        </w:rPr>
        <w:t>, y el Real Decreto 8/202, de 17 de marzo</w:t>
      </w:r>
      <w:r w:rsidRPr="00E4613A">
        <w:rPr>
          <w:rFonts w:ascii="Calibri" w:hAnsi="Calibri"/>
          <w:sz w:val="22"/>
          <w:szCs w:val="22"/>
        </w:rPr>
        <w:t>, de medidas urgentes extraordinarias para hacer frente al impacto económico y social del COVID-19.</w:t>
      </w:r>
    </w:p>
    <w:p w:rsidR="00EA0B10" w:rsidRPr="00E4613A" w:rsidRDefault="00EA0B10" w:rsidP="00CA7840">
      <w:pPr>
        <w:pStyle w:val="NormalWeb"/>
        <w:shd w:val="clear" w:color="auto" w:fill="FFFFFF"/>
        <w:spacing w:before="0" w:beforeAutospacing="0" w:after="138" w:afterAutospacing="0"/>
        <w:jc w:val="both"/>
        <w:rPr>
          <w:rFonts w:ascii="Calibri" w:hAnsi="Calibri"/>
          <w:sz w:val="22"/>
          <w:szCs w:val="22"/>
        </w:rPr>
      </w:pPr>
      <w:r w:rsidRPr="00E4613A">
        <w:rPr>
          <w:rFonts w:ascii="Calibri" w:hAnsi="Calibri"/>
          <w:sz w:val="22"/>
          <w:szCs w:val="22"/>
        </w:rPr>
        <w:t>2.-Declaro responsablemente el cumplimiento de la obligación de comunicar esta solicitud a las personas trabajadoras, así como</w:t>
      </w:r>
      <w:r>
        <w:rPr>
          <w:rFonts w:ascii="Calibri" w:hAnsi="Calibri"/>
          <w:sz w:val="22"/>
          <w:szCs w:val="22"/>
        </w:rPr>
        <w:t xml:space="preserve"> </w:t>
      </w:r>
      <w:r w:rsidRPr="00E4613A">
        <w:rPr>
          <w:rFonts w:ascii="Calibri" w:hAnsi="Calibri"/>
          <w:sz w:val="22"/>
          <w:szCs w:val="22"/>
        </w:rPr>
        <w:t xml:space="preserve">del informe relativo a la vinculación de la pérdida de actividad como consecuencia del COVID-19, y, en su caso, de la documentación acreditativa, tal y como establece en el </w:t>
      </w:r>
      <w:r w:rsidRPr="00E4613A">
        <w:rPr>
          <w:rFonts w:ascii="Calibri" w:hAnsi="Calibri"/>
          <w:b/>
          <w:bCs/>
          <w:sz w:val="22"/>
          <w:szCs w:val="22"/>
        </w:rPr>
        <w:t>artículo </w:t>
      </w:r>
      <w:hyperlink r:id="rId9" w:anchor="ancla_9603608" w:tgtFrame="_blank" w:history="1">
        <w:r w:rsidRPr="00E4613A">
          <w:rPr>
            <w:rStyle w:val="Hyperlink"/>
            <w:rFonts w:ascii="Calibri" w:hAnsi="Calibri"/>
            <w:b/>
            <w:bCs/>
            <w:color w:val="auto"/>
            <w:sz w:val="22"/>
            <w:szCs w:val="22"/>
          </w:rPr>
          <w:t>22</w:t>
        </w:r>
      </w:hyperlink>
      <w:r w:rsidRPr="00E4613A">
        <w:rPr>
          <w:rFonts w:ascii="Calibri" w:hAnsi="Calibri"/>
          <w:b/>
          <w:bCs/>
          <w:sz w:val="22"/>
          <w:szCs w:val="22"/>
        </w:rPr>
        <w:t>. </w:t>
      </w:r>
      <w:hyperlink r:id="rId10" w:anchor="ancla_9603581" w:tgtFrame="_blank" w:history="1">
        <w:r w:rsidRPr="00E4613A">
          <w:rPr>
            <w:rStyle w:val="Hyperlink"/>
            <w:rFonts w:ascii="Calibri" w:hAnsi="Calibri"/>
            <w:b/>
            <w:bCs/>
            <w:color w:val="auto"/>
            <w:sz w:val="22"/>
            <w:szCs w:val="22"/>
          </w:rPr>
          <w:t>2</w:t>
        </w:r>
      </w:hyperlink>
      <w:r w:rsidRPr="00E4613A">
        <w:rPr>
          <w:rFonts w:ascii="Calibri" w:hAnsi="Calibri"/>
          <w:b/>
          <w:bCs/>
          <w:sz w:val="22"/>
          <w:szCs w:val="22"/>
        </w:rPr>
        <w:t>.a) del </w:t>
      </w:r>
      <w:hyperlink r:id="rId11" w:tgtFrame="_blank" w:history="1">
        <w:r w:rsidRPr="00E4613A">
          <w:rPr>
            <w:rStyle w:val="Hyperlink"/>
            <w:rFonts w:ascii="Calibri" w:hAnsi="Calibri"/>
            <w:b/>
            <w:bCs/>
            <w:color w:val="auto"/>
            <w:sz w:val="22"/>
            <w:szCs w:val="22"/>
          </w:rPr>
          <w:t>Real Decreto-ley 8/2020, de 17 de marzo</w:t>
        </w:r>
      </w:hyperlink>
      <w:r w:rsidRPr="00E4613A">
        <w:rPr>
          <w:rFonts w:ascii="Calibri" w:hAnsi="Calibri"/>
          <w:sz w:val="22"/>
          <w:szCs w:val="22"/>
        </w:rPr>
        <w:t>.</w:t>
      </w:r>
    </w:p>
    <w:p w:rsidR="00EA0B10" w:rsidRPr="00E4613A" w:rsidRDefault="00EA0B10" w:rsidP="00CA7840">
      <w:pPr>
        <w:pStyle w:val="NormalWeb"/>
        <w:shd w:val="clear" w:color="auto" w:fill="FFFFFF"/>
        <w:spacing w:before="0" w:beforeAutospacing="0" w:after="138" w:afterAutospacing="0"/>
        <w:jc w:val="both"/>
        <w:rPr>
          <w:rFonts w:ascii="Calibri" w:hAnsi="Calibri"/>
          <w:sz w:val="22"/>
          <w:szCs w:val="22"/>
        </w:rPr>
      </w:pPr>
      <w:r w:rsidRPr="00E4613A">
        <w:rPr>
          <w:rFonts w:ascii="Calibri" w:hAnsi="Calibri"/>
          <w:sz w:val="22"/>
          <w:szCs w:val="22"/>
        </w:rPr>
        <w:t xml:space="preserve">3.  Que alega situación de </w:t>
      </w:r>
      <w:r w:rsidRPr="00E4613A">
        <w:rPr>
          <w:rFonts w:ascii="Calibri" w:hAnsi="Calibri"/>
          <w:b/>
          <w:bCs/>
          <w:sz w:val="22"/>
          <w:szCs w:val="22"/>
        </w:rPr>
        <w:t>FUERZA MAYOR</w:t>
      </w:r>
      <w:r w:rsidRPr="00E4613A">
        <w:rPr>
          <w:rFonts w:ascii="Calibri" w:hAnsi="Calibri"/>
          <w:sz w:val="22"/>
          <w:szCs w:val="22"/>
        </w:rPr>
        <w:t xml:space="preserve"> por causa directa en pérdida de actividad como consecuencia del COVID-19, incluida la declaración del estado de alarma, que implica la suspensión, cancelación de actividades</w:t>
      </w:r>
      <w:r>
        <w:rPr>
          <w:rFonts w:ascii="Calibri" w:hAnsi="Calibri"/>
          <w:sz w:val="22"/>
          <w:szCs w:val="22"/>
        </w:rPr>
        <w:t>, reducción</w:t>
      </w:r>
      <w:r w:rsidRPr="00E4613A">
        <w:rPr>
          <w:rFonts w:ascii="Calibri" w:hAnsi="Calibri"/>
          <w:sz w:val="22"/>
          <w:szCs w:val="22"/>
        </w:rPr>
        <w:t xml:space="preserve"> o cualquier otra situación prevista en el artículo </w:t>
      </w:r>
      <w:hyperlink r:id="rId12" w:anchor="ancla_9603608" w:tgtFrame="_blank" w:history="1">
        <w:r w:rsidRPr="00E4613A">
          <w:rPr>
            <w:rStyle w:val="Hyperlink"/>
            <w:rFonts w:ascii="Calibri" w:hAnsi="Calibri"/>
            <w:color w:val="auto"/>
            <w:sz w:val="22"/>
            <w:szCs w:val="22"/>
          </w:rPr>
          <w:t>22.1</w:t>
        </w:r>
      </w:hyperlink>
      <w:r w:rsidRPr="00E4613A">
        <w:rPr>
          <w:rFonts w:ascii="Calibri" w:hAnsi="Calibri"/>
          <w:sz w:val="22"/>
          <w:szCs w:val="22"/>
        </w:rPr>
        <w:t> del </w:t>
      </w:r>
      <w:hyperlink r:id="rId13" w:tgtFrame="_blank" w:history="1">
        <w:r w:rsidRPr="00E4613A">
          <w:rPr>
            <w:rStyle w:val="Hyperlink"/>
            <w:rFonts w:ascii="Calibri" w:hAnsi="Calibri"/>
            <w:color w:val="auto"/>
            <w:sz w:val="22"/>
            <w:szCs w:val="22"/>
          </w:rPr>
          <w:t>Real Decreto-ley 8/2020, de 17 de marzo</w:t>
        </w:r>
      </w:hyperlink>
      <w:r w:rsidRPr="00E4613A">
        <w:rPr>
          <w:rFonts w:ascii="Calibri" w:hAnsi="Calibri"/>
          <w:sz w:val="22"/>
          <w:szCs w:val="22"/>
        </w:rPr>
        <w:t>, de medidas urgentes</w:t>
      </w:r>
      <w:r w:rsidRPr="00E4613A">
        <w:rPr>
          <w:rFonts w:ascii="Calibri" w:hAnsi="Calibri"/>
          <w:sz w:val="22"/>
          <w:szCs w:val="22"/>
        </w:rPr>
        <w:br/>
        <w:t>extraordinarias para hacer frente al impacto económico y social del COVID-19.</w:t>
      </w:r>
    </w:p>
    <w:p w:rsidR="00EA0B10" w:rsidRPr="00D5103B" w:rsidRDefault="00EA0B10" w:rsidP="00CA7840">
      <w:pPr>
        <w:pStyle w:val="NormalWeb"/>
        <w:shd w:val="clear" w:color="auto" w:fill="FFFFFF"/>
        <w:spacing w:before="0" w:beforeAutospacing="0" w:after="138" w:afterAutospacing="0"/>
        <w:jc w:val="both"/>
        <w:rPr>
          <w:rFonts w:ascii="Calibri" w:hAnsi="Calibri"/>
          <w:b/>
          <w:bCs/>
          <w:sz w:val="22"/>
          <w:szCs w:val="22"/>
        </w:rPr>
      </w:pPr>
      <w:r w:rsidRPr="00E4613A">
        <w:rPr>
          <w:rFonts w:ascii="Calibri" w:hAnsi="Calibri"/>
          <w:sz w:val="22"/>
          <w:szCs w:val="22"/>
        </w:rPr>
        <w:t xml:space="preserve">4. Que en cumplimiento de lo dispuesto en el </w:t>
      </w:r>
      <w:r w:rsidRPr="00E4613A">
        <w:rPr>
          <w:rFonts w:ascii="Calibri" w:hAnsi="Calibri"/>
          <w:b/>
          <w:bCs/>
          <w:sz w:val="22"/>
          <w:szCs w:val="22"/>
        </w:rPr>
        <w:t>artículo </w:t>
      </w:r>
      <w:hyperlink r:id="rId14" w:anchor="ancla_9603608" w:tgtFrame="_blank" w:history="1">
        <w:r w:rsidRPr="00E4613A">
          <w:rPr>
            <w:rStyle w:val="Hyperlink"/>
            <w:rFonts w:ascii="Calibri" w:hAnsi="Calibri"/>
            <w:b/>
            <w:bCs/>
            <w:color w:val="auto"/>
            <w:sz w:val="22"/>
            <w:szCs w:val="22"/>
          </w:rPr>
          <w:t>22.2</w:t>
        </w:r>
      </w:hyperlink>
      <w:r w:rsidRPr="00E4613A">
        <w:rPr>
          <w:rFonts w:ascii="Calibri" w:hAnsi="Calibri"/>
          <w:b/>
          <w:bCs/>
          <w:sz w:val="22"/>
          <w:szCs w:val="22"/>
        </w:rPr>
        <w:t>.a) del citado </w:t>
      </w:r>
      <w:hyperlink r:id="rId15" w:tgtFrame="_blank" w:history="1">
        <w:r w:rsidRPr="00E4613A">
          <w:rPr>
            <w:rStyle w:val="Hyperlink"/>
            <w:rFonts w:ascii="Calibri" w:hAnsi="Calibri"/>
            <w:b/>
            <w:bCs/>
            <w:color w:val="auto"/>
            <w:sz w:val="22"/>
            <w:szCs w:val="22"/>
          </w:rPr>
          <w:t>Real Decreto-ley 8/2020, de 17 de marzo</w:t>
        </w:r>
      </w:hyperlink>
      <w:r w:rsidRPr="00E4613A">
        <w:rPr>
          <w:rFonts w:ascii="Calibri" w:hAnsi="Calibri"/>
          <w:sz w:val="22"/>
          <w:szCs w:val="22"/>
        </w:rPr>
        <w:t>, de medidas urgentes extraordinarias para hacer frente al impacto económico y social del COVID-19,</w:t>
      </w:r>
      <w:r>
        <w:rPr>
          <w:rFonts w:ascii="Calibri" w:hAnsi="Calibri"/>
          <w:sz w:val="22"/>
          <w:szCs w:val="22"/>
        </w:rPr>
        <w:t xml:space="preserve"> y debido tanto a las medidas preventivas de interrupción o reducción de actividad asistencial instadas por las sociedades científicas oficiales, así como la incapacidad de adquisición de equipos de protección individual, y la falta de suministros necesarios para prestar una correcta atención sanitaria considerando todos estos hechos como circunstancias previstas </w:t>
      </w:r>
      <w:r w:rsidRPr="00E4613A">
        <w:rPr>
          <w:rFonts w:ascii="Calibri" w:hAnsi="Calibri"/>
          <w:sz w:val="22"/>
          <w:szCs w:val="22"/>
        </w:rPr>
        <w:t xml:space="preserve">en el </w:t>
      </w:r>
      <w:r w:rsidRPr="00D5103B">
        <w:rPr>
          <w:rFonts w:ascii="Calibri" w:hAnsi="Calibri"/>
          <w:b/>
          <w:bCs/>
          <w:sz w:val="22"/>
          <w:szCs w:val="22"/>
        </w:rPr>
        <w:t>art. 22.1 del Real Decreto-ley 8/2020.</w:t>
      </w:r>
    </w:p>
    <w:p w:rsidR="00EA0B10" w:rsidRDefault="00EA0B10" w:rsidP="00CA7840">
      <w:pPr>
        <w:pStyle w:val="NormalWeb"/>
        <w:shd w:val="clear" w:color="auto" w:fill="FFFFFF"/>
        <w:spacing w:before="0" w:beforeAutospacing="0" w:after="138" w:afterAutospacing="0"/>
        <w:jc w:val="both"/>
        <w:rPr>
          <w:rFonts w:ascii="Calibri" w:hAnsi="Calibri"/>
          <w:sz w:val="22"/>
          <w:szCs w:val="22"/>
        </w:rPr>
      </w:pPr>
      <w:r w:rsidRPr="00E4613A">
        <w:rPr>
          <w:rFonts w:ascii="Calibri" w:hAnsi="Calibri"/>
          <w:sz w:val="22"/>
          <w:szCs w:val="22"/>
        </w:rPr>
        <w:t>5.- Que la empresa se rige por el</w:t>
      </w:r>
      <w:r>
        <w:rPr>
          <w:rFonts w:ascii="Calibri" w:hAnsi="Calibri"/>
          <w:sz w:val="22"/>
          <w:szCs w:val="22"/>
        </w:rPr>
        <w:t xml:space="preserve"> </w:t>
      </w:r>
      <w:hyperlink r:id="rId16" w:tgtFrame="_blank" w:history="1">
        <w:r w:rsidRPr="002A5037">
          <w:rPr>
            <w:rStyle w:val="Hyperlink"/>
            <w:rFonts w:ascii="Calibri" w:hAnsi="Calibri"/>
            <w:color w:val="auto"/>
            <w:sz w:val="22"/>
            <w:szCs w:val="22"/>
            <w:shd w:val="clear" w:color="auto" w:fill="FFFFFF"/>
          </w:rPr>
          <w:t>Estatuto de los trabajadores</w:t>
        </w:r>
      </w:hyperlink>
      <w:r w:rsidRPr="00E4613A">
        <w:rPr>
          <w:rFonts w:ascii="Calibri" w:hAnsi="Calibri"/>
          <w:sz w:val="22"/>
          <w:szCs w:val="22"/>
        </w:rPr>
        <w:t xml:space="preserve"> y está clasificada con el código CNAE – 2009: </w:t>
      </w:r>
      <w:r>
        <w:rPr>
          <w:rFonts w:ascii="Calibri" w:hAnsi="Calibri"/>
          <w:sz w:val="22"/>
          <w:szCs w:val="22"/>
        </w:rPr>
        <w:t>85120: Actividades médicas</w:t>
      </w:r>
    </w:p>
    <w:p w:rsidR="00EA0B10" w:rsidRDefault="00EA0B10" w:rsidP="00CA7840">
      <w:pPr>
        <w:pStyle w:val="NormalWeb"/>
        <w:shd w:val="clear" w:color="auto" w:fill="FFFFFF"/>
        <w:spacing w:before="0" w:beforeAutospacing="0" w:after="138" w:afterAutospacing="0"/>
        <w:jc w:val="both"/>
        <w:rPr>
          <w:rFonts w:ascii="Calibri" w:hAnsi="Calibri"/>
          <w:sz w:val="22"/>
          <w:szCs w:val="22"/>
        </w:rPr>
      </w:pPr>
      <w:r>
        <w:rPr>
          <w:rFonts w:ascii="Calibri" w:hAnsi="Calibri"/>
          <w:sz w:val="22"/>
          <w:szCs w:val="22"/>
        </w:rPr>
        <w:t>6</w:t>
      </w:r>
      <w:r w:rsidRPr="00E4613A">
        <w:rPr>
          <w:rFonts w:ascii="Calibri" w:hAnsi="Calibri"/>
          <w:sz w:val="22"/>
          <w:szCs w:val="22"/>
        </w:rPr>
        <w:t xml:space="preserve">.- Que la empresa </w:t>
      </w:r>
      <w:r>
        <w:rPr>
          <w:rFonts w:ascii="Calibri" w:hAnsi="Calibri"/>
          <w:sz w:val="22"/>
          <w:szCs w:val="22"/>
        </w:rPr>
        <w:t>ejerce su actividad en un solo centro sito en                                  en                             , contando con                trabajadores en plantilla, de                                  .</w:t>
      </w:r>
    </w:p>
    <w:p w:rsidR="00EA0B10" w:rsidRPr="00D5103B" w:rsidRDefault="00EA0B10" w:rsidP="00CA7840">
      <w:pPr>
        <w:pStyle w:val="NormalWeb"/>
        <w:shd w:val="clear" w:color="auto" w:fill="FFFFFF"/>
        <w:spacing w:before="0" w:beforeAutospacing="0" w:after="138" w:afterAutospacing="0"/>
        <w:rPr>
          <w:rFonts w:ascii="Calibri" w:hAnsi="Calibri"/>
          <w:sz w:val="22"/>
          <w:szCs w:val="22"/>
        </w:rPr>
      </w:pPr>
      <w:r w:rsidRPr="00D5103B">
        <w:rPr>
          <w:rFonts w:ascii="Calibri" w:hAnsi="Calibri"/>
          <w:sz w:val="22"/>
          <w:szCs w:val="22"/>
        </w:rPr>
        <w:t xml:space="preserve">Por todo lo cual, </w:t>
      </w:r>
      <w:r w:rsidRPr="00CA7840">
        <w:rPr>
          <w:rFonts w:ascii="Calibri" w:hAnsi="Calibri"/>
          <w:b/>
          <w:bCs/>
          <w:sz w:val="22"/>
          <w:szCs w:val="22"/>
        </w:rPr>
        <w:t>SOLICITA</w:t>
      </w:r>
      <w:r w:rsidRPr="00D5103B">
        <w:rPr>
          <w:rFonts w:ascii="Calibri" w:hAnsi="Calibri"/>
          <w:sz w:val="22"/>
          <w:szCs w:val="22"/>
        </w:rPr>
        <w:t xml:space="preserve"> la constatación de </w:t>
      </w:r>
      <w:r w:rsidRPr="00CA7840">
        <w:rPr>
          <w:rFonts w:ascii="Calibri" w:hAnsi="Calibri"/>
          <w:b/>
          <w:bCs/>
          <w:sz w:val="22"/>
          <w:szCs w:val="22"/>
        </w:rPr>
        <w:t>la FUERZA MAYOR</w:t>
      </w:r>
      <w:r w:rsidRPr="00D5103B">
        <w:rPr>
          <w:rFonts w:ascii="Calibri" w:hAnsi="Calibri"/>
          <w:sz w:val="22"/>
          <w:szCs w:val="22"/>
        </w:rPr>
        <w:t xml:space="preserve"> para la:</w:t>
      </w:r>
    </w:p>
    <w:p w:rsidR="00EA0B10" w:rsidRPr="00CA7840" w:rsidRDefault="00EA0B10" w:rsidP="00CA7840">
      <w:pPr>
        <w:pStyle w:val="NormalWeb"/>
        <w:shd w:val="clear" w:color="auto" w:fill="FFFFFF"/>
        <w:spacing w:before="0" w:beforeAutospacing="0" w:after="138" w:afterAutospacing="0"/>
        <w:jc w:val="both"/>
        <w:rPr>
          <w:rFonts w:ascii="Calibri" w:hAnsi="Calibri"/>
          <w:b/>
          <w:bCs/>
          <w:sz w:val="22"/>
          <w:szCs w:val="22"/>
        </w:rPr>
      </w:pPr>
      <w:r w:rsidRPr="00CA7840">
        <w:rPr>
          <w:rFonts w:ascii="Calibri" w:hAnsi="Calibri"/>
          <w:b/>
          <w:bCs/>
          <w:sz w:val="22"/>
          <w:szCs w:val="22"/>
        </w:rPr>
        <w:t>SUSPENSIÓN TEMPORAL DE   CONTRATOS</w:t>
      </w:r>
    </w:p>
    <w:p w:rsidR="00EA0B10" w:rsidRPr="00CA7840" w:rsidRDefault="00EA0B10" w:rsidP="00CA7840">
      <w:pPr>
        <w:pStyle w:val="NormalWeb"/>
        <w:shd w:val="clear" w:color="auto" w:fill="FFFFFF"/>
        <w:spacing w:before="0" w:beforeAutospacing="0" w:after="138" w:afterAutospacing="0"/>
        <w:jc w:val="both"/>
        <w:rPr>
          <w:rFonts w:ascii="Calibri" w:hAnsi="Calibri"/>
          <w:b/>
          <w:bCs/>
          <w:sz w:val="22"/>
          <w:szCs w:val="22"/>
        </w:rPr>
      </w:pPr>
      <w:r w:rsidRPr="00CA7840">
        <w:rPr>
          <w:rFonts w:ascii="Calibri" w:hAnsi="Calibri"/>
          <w:b/>
          <w:bCs/>
          <w:sz w:val="22"/>
          <w:szCs w:val="22"/>
        </w:rPr>
        <w:t>REDUCCIÓN TEMPORAL DE JORNADA EN PORCENTAJE: </w:t>
      </w:r>
      <w:r>
        <w:rPr>
          <w:rFonts w:ascii="Calibri" w:hAnsi="Calibri"/>
          <w:b/>
          <w:bCs/>
          <w:sz w:val="22"/>
          <w:szCs w:val="22"/>
        </w:rPr>
        <w:t xml:space="preserve">  </w:t>
      </w:r>
      <w:r w:rsidRPr="00CA7840">
        <w:rPr>
          <w:rFonts w:ascii="Calibri" w:hAnsi="Calibri"/>
          <w:b/>
          <w:bCs/>
          <w:sz w:val="22"/>
          <w:szCs w:val="22"/>
        </w:rPr>
        <w:t xml:space="preserve"> % DE CONTRATOS</w:t>
      </w:r>
    </w:p>
    <w:p w:rsidR="00EA0B10" w:rsidRPr="00D5103B" w:rsidRDefault="00EA0B10" w:rsidP="00CA7840">
      <w:pPr>
        <w:pStyle w:val="NormalWeb"/>
        <w:shd w:val="clear" w:color="auto" w:fill="FFFFFF"/>
        <w:spacing w:before="0" w:beforeAutospacing="0" w:after="138" w:afterAutospacing="0"/>
        <w:jc w:val="both"/>
        <w:rPr>
          <w:rFonts w:ascii="Calibri" w:hAnsi="Calibri"/>
          <w:sz w:val="22"/>
          <w:szCs w:val="22"/>
        </w:rPr>
      </w:pPr>
      <w:r>
        <w:rPr>
          <w:rFonts w:ascii="Calibri" w:hAnsi="Calibri"/>
          <w:sz w:val="22"/>
          <w:szCs w:val="22"/>
        </w:rPr>
        <w:t>Tal y como se especifica en esta memoria con fecha de inicio                  y finalización condicionado al cese de Estado de Alarma y a la restauración del normal abastecimiento de material necesario.</w:t>
      </w:r>
    </w:p>
    <w:p w:rsidR="00EA0B10" w:rsidRPr="00201713" w:rsidRDefault="00EA0B10" w:rsidP="00CA7840">
      <w:pPr>
        <w:pStyle w:val="NormalWeb"/>
        <w:shd w:val="clear" w:color="auto" w:fill="FFFFFF"/>
        <w:spacing w:before="0" w:beforeAutospacing="0" w:after="138" w:afterAutospacing="0"/>
        <w:jc w:val="both"/>
        <w:rPr>
          <w:rFonts w:ascii="Calibri" w:hAnsi="Calibri"/>
          <w:sz w:val="22"/>
          <w:szCs w:val="22"/>
        </w:rPr>
      </w:pPr>
      <w:r w:rsidRPr="00D5103B">
        <w:t> </w:t>
      </w:r>
      <w:r w:rsidRPr="00201713">
        <w:rPr>
          <w:rFonts w:ascii="Calibri" w:hAnsi="Calibri"/>
          <w:sz w:val="22"/>
          <w:szCs w:val="22"/>
        </w:rPr>
        <w:t xml:space="preserve">En </w:t>
      </w:r>
      <w:r>
        <w:rPr>
          <w:rFonts w:ascii="Calibri" w:hAnsi="Calibri"/>
          <w:sz w:val="22"/>
          <w:szCs w:val="22"/>
        </w:rPr>
        <w:t xml:space="preserve">                                  </w:t>
      </w:r>
      <w:r w:rsidRPr="00201713">
        <w:rPr>
          <w:rFonts w:ascii="Calibri" w:hAnsi="Calibri"/>
          <w:sz w:val="22"/>
          <w:szCs w:val="22"/>
        </w:rPr>
        <w:t xml:space="preserve"> a </w:t>
      </w:r>
      <w:r>
        <w:rPr>
          <w:rFonts w:ascii="Calibri" w:hAnsi="Calibri"/>
          <w:sz w:val="22"/>
          <w:szCs w:val="22"/>
        </w:rPr>
        <w:t xml:space="preserve">           </w:t>
      </w:r>
      <w:r w:rsidRPr="00201713">
        <w:rPr>
          <w:rFonts w:ascii="Calibri" w:hAnsi="Calibri"/>
          <w:sz w:val="22"/>
          <w:szCs w:val="22"/>
        </w:rPr>
        <w:t xml:space="preserve">de </w:t>
      </w:r>
      <w:r>
        <w:rPr>
          <w:rFonts w:ascii="Calibri" w:hAnsi="Calibri"/>
          <w:sz w:val="22"/>
          <w:szCs w:val="22"/>
        </w:rPr>
        <w:t xml:space="preserve">                     </w:t>
      </w:r>
      <w:r w:rsidRPr="00201713">
        <w:rPr>
          <w:rFonts w:ascii="Calibri" w:hAnsi="Calibri"/>
          <w:sz w:val="22"/>
          <w:szCs w:val="22"/>
        </w:rPr>
        <w:t xml:space="preserve"> de 2020</w:t>
      </w:r>
      <w:r>
        <w:rPr>
          <w:rFonts w:ascii="Calibri" w:hAnsi="Calibri"/>
          <w:sz w:val="22"/>
          <w:szCs w:val="22"/>
        </w:rPr>
        <w:t>.</w:t>
      </w:r>
    </w:p>
    <w:sectPr w:rsidR="00EA0B10" w:rsidRPr="00201713" w:rsidSect="002547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6AB7"/>
    <w:multiLevelType w:val="hybridMultilevel"/>
    <w:tmpl w:val="31B659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EE8485B"/>
    <w:multiLevelType w:val="hybridMultilevel"/>
    <w:tmpl w:val="7A744B7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6B68"/>
    <w:rsid w:val="000104BB"/>
    <w:rsid w:val="0009606C"/>
    <w:rsid w:val="000B1FFD"/>
    <w:rsid w:val="000E6D33"/>
    <w:rsid w:val="000F2E4E"/>
    <w:rsid w:val="0010455F"/>
    <w:rsid w:val="001168F2"/>
    <w:rsid w:val="00117AE5"/>
    <w:rsid w:val="00126FD5"/>
    <w:rsid w:val="00127FD8"/>
    <w:rsid w:val="0013266E"/>
    <w:rsid w:val="001330F5"/>
    <w:rsid w:val="00152805"/>
    <w:rsid w:val="00181949"/>
    <w:rsid w:val="001B274C"/>
    <w:rsid w:val="001B7B06"/>
    <w:rsid w:val="001E2270"/>
    <w:rsid w:val="001F3265"/>
    <w:rsid w:val="001F32E8"/>
    <w:rsid w:val="00201713"/>
    <w:rsid w:val="002547D3"/>
    <w:rsid w:val="002A5037"/>
    <w:rsid w:val="002C510A"/>
    <w:rsid w:val="002D1986"/>
    <w:rsid w:val="00300EEE"/>
    <w:rsid w:val="0031211B"/>
    <w:rsid w:val="00325289"/>
    <w:rsid w:val="00393B75"/>
    <w:rsid w:val="003A2783"/>
    <w:rsid w:val="003B0B1D"/>
    <w:rsid w:val="003D6B68"/>
    <w:rsid w:val="00406BAE"/>
    <w:rsid w:val="00411258"/>
    <w:rsid w:val="00414DF3"/>
    <w:rsid w:val="00423B20"/>
    <w:rsid w:val="00444142"/>
    <w:rsid w:val="004456DB"/>
    <w:rsid w:val="00450D91"/>
    <w:rsid w:val="00452627"/>
    <w:rsid w:val="004546CF"/>
    <w:rsid w:val="00463F24"/>
    <w:rsid w:val="00473A59"/>
    <w:rsid w:val="004D1EBE"/>
    <w:rsid w:val="004E1FD5"/>
    <w:rsid w:val="00526673"/>
    <w:rsid w:val="00535683"/>
    <w:rsid w:val="00587C42"/>
    <w:rsid w:val="00592088"/>
    <w:rsid w:val="005A074B"/>
    <w:rsid w:val="005B063B"/>
    <w:rsid w:val="005D5898"/>
    <w:rsid w:val="005F6619"/>
    <w:rsid w:val="006234E7"/>
    <w:rsid w:val="00650242"/>
    <w:rsid w:val="00651E17"/>
    <w:rsid w:val="0065584F"/>
    <w:rsid w:val="006610C8"/>
    <w:rsid w:val="00676E8F"/>
    <w:rsid w:val="0068778B"/>
    <w:rsid w:val="006967AF"/>
    <w:rsid w:val="006C646A"/>
    <w:rsid w:val="006C679E"/>
    <w:rsid w:val="00724C18"/>
    <w:rsid w:val="00726271"/>
    <w:rsid w:val="007413A3"/>
    <w:rsid w:val="00747836"/>
    <w:rsid w:val="00780008"/>
    <w:rsid w:val="00794442"/>
    <w:rsid w:val="007D6DB4"/>
    <w:rsid w:val="007E2964"/>
    <w:rsid w:val="007E4747"/>
    <w:rsid w:val="007E4AD0"/>
    <w:rsid w:val="007F1C97"/>
    <w:rsid w:val="00821CA0"/>
    <w:rsid w:val="00852186"/>
    <w:rsid w:val="008917E3"/>
    <w:rsid w:val="008C4DA4"/>
    <w:rsid w:val="00902253"/>
    <w:rsid w:val="00923CAA"/>
    <w:rsid w:val="009260A7"/>
    <w:rsid w:val="00941E21"/>
    <w:rsid w:val="00944ED4"/>
    <w:rsid w:val="00973266"/>
    <w:rsid w:val="0097353D"/>
    <w:rsid w:val="009C0026"/>
    <w:rsid w:val="009F0840"/>
    <w:rsid w:val="00A30C92"/>
    <w:rsid w:val="00A76264"/>
    <w:rsid w:val="00A96C65"/>
    <w:rsid w:val="00AA347F"/>
    <w:rsid w:val="00AA509E"/>
    <w:rsid w:val="00AD37B1"/>
    <w:rsid w:val="00B00EDE"/>
    <w:rsid w:val="00B3377E"/>
    <w:rsid w:val="00B63F13"/>
    <w:rsid w:val="00BA0F46"/>
    <w:rsid w:val="00BC6FF6"/>
    <w:rsid w:val="00C240F6"/>
    <w:rsid w:val="00C3457B"/>
    <w:rsid w:val="00C86DC7"/>
    <w:rsid w:val="00C95F38"/>
    <w:rsid w:val="00CA7840"/>
    <w:rsid w:val="00CC5CFC"/>
    <w:rsid w:val="00CC670C"/>
    <w:rsid w:val="00CE3A48"/>
    <w:rsid w:val="00CF4928"/>
    <w:rsid w:val="00CF5DFD"/>
    <w:rsid w:val="00D20059"/>
    <w:rsid w:val="00D25D04"/>
    <w:rsid w:val="00D5103B"/>
    <w:rsid w:val="00D73DB2"/>
    <w:rsid w:val="00D913C6"/>
    <w:rsid w:val="00DC468D"/>
    <w:rsid w:val="00DC6093"/>
    <w:rsid w:val="00DD3343"/>
    <w:rsid w:val="00DF756C"/>
    <w:rsid w:val="00E1719F"/>
    <w:rsid w:val="00E4613A"/>
    <w:rsid w:val="00E50274"/>
    <w:rsid w:val="00EA0B10"/>
    <w:rsid w:val="00EB6FFC"/>
    <w:rsid w:val="00EC49DD"/>
    <w:rsid w:val="00ED1A5C"/>
    <w:rsid w:val="00F05AB4"/>
    <w:rsid w:val="00F11C17"/>
    <w:rsid w:val="00F85529"/>
    <w:rsid w:val="00FE6B8A"/>
    <w:rsid w:val="00FF670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D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347F"/>
    <w:pPr>
      <w:ind w:left="720"/>
      <w:contextualSpacing/>
    </w:pPr>
  </w:style>
  <w:style w:type="character" w:styleId="Hyperlink">
    <w:name w:val="Hyperlink"/>
    <w:basedOn w:val="DefaultParagraphFont"/>
    <w:uiPriority w:val="99"/>
    <w:rsid w:val="00941E21"/>
    <w:rPr>
      <w:rFonts w:cs="Times New Roman"/>
      <w:color w:val="4472C4"/>
    </w:rPr>
  </w:style>
  <w:style w:type="paragraph" w:styleId="BodyText">
    <w:name w:val="Body Text"/>
    <w:basedOn w:val="Normal"/>
    <w:link w:val="BodyTextChar"/>
    <w:uiPriority w:val="99"/>
    <w:rsid w:val="00941E21"/>
    <w:pPr>
      <w:spacing w:after="120" w:line="240" w:lineRule="auto"/>
      <w:jc w:val="both"/>
    </w:pPr>
    <w:rPr>
      <w:rFonts w:eastAsia="Times New Roman"/>
      <w:sz w:val="24"/>
      <w:szCs w:val="24"/>
      <w:lang w:val="es-ES_tradnl"/>
    </w:rPr>
  </w:style>
  <w:style w:type="character" w:customStyle="1" w:styleId="BodyTextChar">
    <w:name w:val="Body Text Char"/>
    <w:basedOn w:val="DefaultParagraphFont"/>
    <w:link w:val="BodyText"/>
    <w:uiPriority w:val="99"/>
    <w:locked/>
    <w:rsid w:val="00941E21"/>
    <w:rPr>
      <w:rFonts w:eastAsia="Times New Roman" w:cs="Times New Roman"/>
      <w:sz w:val="24"/>
      <w:szCs w:val="24"/>
      <w:lang w:val="es-ES_tradnl"/>
    </w:rPr>
  </w:style>
  <w:style w:type="paragraph" w:customStyle="1" w:styleId="Default">
    <w:name w:val="Default"/>
    <w:uiPriority w:val="99"/>
    <w:rsid w:val="00941E21"/>
    <w:pPr>
      <w:autoSpaceDE w:val="0"/>
      <w:autoSpaceDN w:val="0"/>
      <w:adjustRightInd w:val="0"/>
    </w:pPr>
    <w:rPr>
      <w:rFonts w:ascii="Arial" w:hAnsi="Arial" w:cs="Arial"/>
      <w:color w:val="000000"/>
      <w:sz w:val="24"/>
      <w:szCs w:val="24"/>
      <w:lang w:eastAsia="en-US"/>
    </w:rPr>
  </w:style>
  <w:style w:type="paragraph" w:customStyle="1" w:styleId="parrafo2">
    <w:name w:val="parrafo_2"/>
    <w:basedOn w:val="Normal"/>
    <w:uiPriority w:val="99"/>
    <w:rsid w:val="00DF756C"/>
    <w:pPr>
      <w:spacing w:before="100" w:beforeAutospacing="1" w:after="100" w:afterAutospacing="1" w:line="240" w:lineRule="auto"/>
    </w:pPr>
    <w:rPr>
      <w:rFonts w:ascii="Times New Roman" w:eastAsia="MS Mincho" w:hAnsi="Times New Roman"/>
      <w:sz w:val="24"/>
      <w:szCs w:val="24"/>
      <w:lang w:eastAsia="ja-JP" w:bidi="mr-IN"/>
    </w:rPr>
  </w:style>
  <w:style w:type="paragraph" w:customStyle="1" w:styleId="parrafo">
    <w:name w:val="parrafo"/>
    <w:basedOn w:val="Normal"/>
    <w:uiPriority w:val="99"/>
    <w:rsid w:val="00DF756C"/>
    <w:pPr>
      <w:spacing w:before="100" w:beforeAutospacing="1" w:after="100" w:afterAutospacing="1" w:line="240" w:lineRule="auto"/>
    </w:pPr>
    <w:rPr>
      <w:rFonts w:ascii="Times New Roman" w:eastAsia="MS Mincho" w:hAnsi="Times New Roman"/>
      <w:sz w:val="24"/>
      <w:szCs w:val="24"/>
      <w:lang w:eastAsia="ja-JP" w:bidi="mr-IN"/>
    </w:rPr>
  </w:style>
  <w:style w:type="table" w:styleId="TableGrid">
    <w:name w:val="Table Grid"/>
    <w:basedOn w:val="TableNormal"/>
    <w:uiPriority w:val="99"/>
    <w:rsid w:val="00651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4613A"/>
    <w:pPr>
      <w:spacing w:before="100" w:beforeAutospacing="1" w:after="100" w:afterAutospacing="1" w:line="240" w:lineRule="auto"/>
    </w:pPr>
    <w:rPr>
      <w:rFonts w:ascii="Times New Roman" w:eastAsia="MS Mincho" w:hAnsi="Times New Roman"/>
      <w:sz w:val="24"/>
      <w:szCs w:val="24"/>
      <w:lang w:eastAsia="ja-JP" w:bidi="mr-IN"/>
    </w:rPr>
  </w:style>
  <w:style w:type="character" w:styleId="FollowedHyperlink">
    <w:name w:val="FollowedHyperlink"/>
    <w:basedOn w:val="DefaultParagraphFont"/>
    <w:uiPriority w:val="99"/>
    <w:rsid w:val="002A503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11826218">
      <w:marLeft w:val="0"/>
      <w:marRight w:val="0"/>
      <w:marTop w:val="0"/>
      <w:marBottom w:val="0"/>
      <w:divBdr>
        <w:top w:val="none" w:sz="0" w:space="0" w:color="auto"/>
        <w:left w:val="none" w:sz="0" w:space="0" w:color="auto"/>
        <w:bottom w:val="none" w:sz="0" w:space="0" w:color="auto"/>
        <w:right w:val="none" w:sz="0" w:space="0" w:color="auto"/>
      </w:divBdr>
    </w:div>
    <w:div w:id="1111826219">
      <w:marLeft w:val="0"/>
      <w:marRight w:val="0"/>
      <w:marTop w:val="0"/>
      <w:marBottom w:val="0"/>
      <w:divBdr>
        <w:top w:val="none" w:sz="0" w:space="0" w:color="auto"/>
        <w:left w:val="none" w:sz="0" w:space="0" w:color="auto"/>
        <w:bottom w:val="none" w:sz="0" w:space="0" w:color="auto"/>
        <w:right w:val="none" w:sz="0" w:space="0" w:color="auto"/>
      </w:divBdr>
    </w:div>
    <w:div w:id="1111826222">
      <w:marLeft w:val="0"/>
      <w:marRight w:val="0"/>
      <w:marTop w:val="0"/>
      <w:marBottom w:val="0"/>
      <w:divBdr>
        <w:top w:val="none" w:sz="0" w:space="0" w:color="auto"/>
        <w:left w:val="none" w:sz="0" w:space="0" w:color="auto"/>
        <w:bottom w:val="none" w:sz="0" w:space="0" w:color="auto"/>
        <w:right w:val="none" w:sz="0" w:space="0" w:color="auto"/>
      </w:divBdr>
    </w:div>
    <w:div w:id="1111826223">
      <w:marLeft w:val="0"/>
      <w:marRight w:val="0"/>
      <w:marTop w:val="0"/>
      <w:marBottom w:val="0"/>
      <w:divBdr>
        <w:top w:val="none" w:sz="0" w:space="0" w:color="auto"/>
        <w:left w:val="none" w:sz="0" w:space="0" w:color="auto"/>
        <w:bottom w:val="none" w:sz="0" w:space="0" w:color="auto"/>
        <w:right w:val="none" w:sz="0" w:space="0" w:color="auto"/>
      </w:divBdr>
      <w:divsChild>
        <w:div w:id="1111826220">
          <w:marLeft w:val="0"/>
          <w:marRight w:val="0"/>
          <w:marTop w:val="0"/>
          <w:marBottom w:val="0"/>
          <w:divBdr>
            <w:top w:val="none" w:sz="0" w:space="0" w:color="auto"/>
            <w:left w:val="none" w:sz="0" w:space="0" w:color="auto"/>
            <w:bottom w:val="none" w:sz="0" w:space="0" w:color="auto"/>
            <w:right w:val="none" w:sz="0" w:space="0" w:color="auto"/>
          </w:divBdr>
        </w:div>
        <w:div w:id="1111826221">
          <w:marLeft w:val="0"/>
          <w:marRight w:val="0"/>
          <w:marTop w:val="0"/>
          <w:marBottom w:val="0"/>
          <w:divBdr>
            <w:top w:val="none" w:sz="0" w:space="0" w:color="auto"/>
            <w:left w:val="none" w:sz="0" w:space="0" w:color="auto"/>
            <w:bottom w:val="none" w:sz="0" w:space="0" w:color="auto"/>
            <w:right w:val="none" w:sz="0" w:space="0" w:color="auto"/>
          </w:divBdr>
        </w:div>
        <w:div w:id="1111826225">
          <w:marLeft w:val="0"/>
          <w:marRight w:val="0"/>
          <w:marTop w:val="0"/>
          <w:marBottom w:val="0"/>
          <w:divBdr>
            <w:top w:val="none" w:sz="0" w:space="0" w:color="auto"/>
            <w:left w:val="none" w:sz="0" w:space="0" w:color="auto"/>
            <w:bottom w:val="none" w:sz="0" w:space="0" w:color="auto"/>
            <w:right w:val="none" w:sz="0" w:space="0" w:color="auto"/>
          </w:divBdr>
        </w:div>
        <w:div w:id="1111826226">
          <w:marLeft w:val="0"/>
          <w:marRight w:val="0"/>
          <w:marTop w:val="0"/>
          <w:marBottom w:val="0"/>
          <w:divBdr>
            <w:top w:val="none" w:sz="0" w:space="0" w:color="auto"/>
            <w:left w:val="none" w:sz="0" w:space="0" w:color="auto"/>
            <w:bottom w:val="none" w:sz="0" w:space="0" w:color="auto"/>
            <w:right w:val="none" w:sz="0" w:space="0" w:color="auto"/>
          </w:divBdr>
        </w:div>
      </w:divsChild>
    </w:div>
    <w:div w:id="1111826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legislacion/rdleg-2-2015-23-oct-estatuto-trabajadores-23860101" TargetMode="External"/><Relationship Id="rId13" Type="http://schemas.openxmlformats.org/officeDocument/2006/relationships/hyperlink" Target="https://www.iberley.es/legislacion/rd-ley-8-2020-17-mar-medidas-urgentes-extraordinarias-frente-impacto-economico-social-covid-19-2653289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berley.es/legislacion/rdleg-2-2015-23-oct-estatuto-trabajadores-23860101" TargetMode="External"/><Relationship Id="rId12" Type="http://schemas.openxmlformats.org/officeDocument/2006/relationships/hyperlink" Target="https://www.iberley.es/legislacion/rd-ley-8-2020-17-mar-medidas-urgentes-extraordinarias-frente-impacto-economico-social-covid-19-26532892?ancla=960360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berley.es/legislacion/rdleg-2-2015-23-oct-estatuto-trabajadores-23860101" TargetMode="External"/><Relationship Id="rId1" Type="http://schemas.openxmlformats.org/officeDocument/2006/relationships/numbering" Target="numbering.xml"/><Relationship Id="rId6" Type="http://schemas.openxmlformats.org/officeDocument/2006/relationships/hyperlink" Target="https://www.cgcom.es/sites/default/files/u183/n.p._coronavirus_22_3_20_cgcom_niundiamas.pdf" TargetMode="External"/><Relationship Id="rId11" Type="http://schemas.openxmlformats.org/officeDocument/2006/relationships/hyperlink" Target="https://www.iberley.es/legislacion/rd-ley-8-2020-17-mar-medidas-urgentes-extraordinarias-frente-impacto-economico-social-covid-19-26532892" TargetMode="External"/><Relationship Id="rId5" Type="http://schemas.openxmlformats.org/officeDocument/2006/relationships/hyperlink" Target="https://www.oftalmoseo.com/documentacion/comunicado_conjunto_oftalmologia_covid19.pdf" TargetMode="External"/><Relationship Id="rId15" Type="http://schemas.openxmlformats.org/officeDocument/2006/relationships/hyperlink" Target="https://www.iberley.es/legislacion/rd-ley-8-2020-17-mar-medidas-urgentes-extraordinarias-frente-impacto-economico-social-covid-19-26532892" TargetMode="External"/><Relationship Id="rId10" Type="http://schemas.openxmlformats.org/officeDocument/2006/relationships/hyperlink" Target="https://www.iberley.es/legislacion/rd-ley-8-2020-17-mar-medidas-urgentes-extraordinarias-frente-impacto-economico-social-covid-19-26532892?ancla=9603581" TargetMode="External"/><Relationship Id="rId4" Type="http://schemas.openxmlformats.org/officeDocument/2006/relationships/webSettings" Target="webSettings.xml"/><Relationship Id="rId9" Type="http://schemas.openxmlformats.org/officeDocument/2006/relationships/hyperlink" Target="https://www.iberley.es/legislacion/rd-ley-8-2020-17-mar-medidas-urgentes-extraordinarias-frente-impacto-economico-social-covid-19-26532892?ancla=9603608" TargetMode="External"/><Relationship Id="rId14" Type="http://schemas.openxmlformats.org/officeDocument/2006/relationships/hyperlink" Target="https://www.iberley.es/legislacion/rd-ley-8-2020-17-mar-medidas-urgentes-extraordinarias-frente-impacto-economico-social-covid-19-26532892?ancla=9603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Pages>
  <Words>2304</Words>
  <Characters>12673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LAS CAUSAS QUE MOTIVAN EL EXPEDIENTE REGULACION TEMPORAL EMPLEO</dc:title>
  <dc:subject/>
  <dc:creator>Ángeles</dc:creator>
  <cp:keywords/>
  <dc:description/>
  <cp:lastModifiedBy>.</cp:lastModifiedBy>
  <cp:revision>4</cp:revision>
  <dcterms:created xsi:type="dcterms:W3CDTF">2020-03-23T16:55:00Z</dcterms:created>
  <dcterms:modified xsi:type="dcterms:W3CDTF">2020-03-23T20:28:00Z</dcterms:modified>
</cp:coreProperties>
</file>